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53" w:rsidRPr="007713D9" w:rsidRDefault="00D23053" w:rsidP="00D23053">
      <w:pPr>
        <w:tabs>
          <w:tab w:val="left" w:pos="4145"/>
        </w:tabs>
        <w:ind w:left="720"/>
        <w:jc w:val="center"/>
        <w:rPr>
          <w:rFonts w:ascii="Arial" w:hAnsi="Arial" w:cs="Arial"/>
          <w:b/>
          <w:sz w:val="24"/>
          <w:szCs w:val="24"/>
        </w:rPr>
      </w:pPr>
      <w:r w:rsidRPr="007713D9">
        <w:rPr>
          <w:rFonts w:ascii="Arial" w:hAnsi="Arial" w:cs="Arial"/>
          <w:b/>
          <w:sz w:val="24"/>
          <w:szCs w:val="24"/>
        </w:rPr>
        <w:t>T1SC</w:t>
      </w:r>
      <w:r>
        <w:rPr>
          <w:rFonts w:ascii="Arial" w:hAnsi="Arial" w:cs="Arial"/>
          <w:b/>
          <w:sz w:val="24"/>
          <w:szCs w:val="24"/>
        </w:rPr>
        <w:t>/OWG Special Purpose Meeting</w:t>
      </w:r>
      <w:r w:rsidRPr="007713D9">
        <w:rPr>
          <w:rFonts w:ascii="Arial" w:hAnsi="Arial" w:cs="Arial"/>
          <w:b/>
          <w:sz w:val="24"/>
          <w:szCs w:val="24"/>
        </w:rPr>
        <w:t xml:space="preserve"> - Minutes of </w:t>
      </w:r>
      <w:r>
        <w:rPr>
          <w:rFonts w:ascii="Arial" w:hAnsi="Arial" w:cs="Arial"/>
          <w:b/>
          <w:sz w:val="24"/>
          <w:szCs w:val="24"/>
        </w:rPr>
        <w:t>February 20</w:t>
      </w:r>
      <w:r w:rsidRPr="007713D9">
        <w:rPr>
          <w:rFonts w:ascii="Arial" w:hAnsi="Arial" w:cs="Arial"/>
          <w:b/>
          <w:sz w:val="24"/>
          <w:szCs w:val="24"/>
        </w:rPr>
        <w:t>, 2024</w:t>
      </w:r>
    </w:p>
    <w:p w:rsidR="00D23053" w:rsidRDefault="00D23053" w:rsidP="00D67FF9">
      <w:pPr>
        <w:rPr>
          <w:rFonts w:ascii="Arial" w:hAnsi="Arial" w:cs="Arial"/>
          <w:sz w:val="24"/>
          <w:szCs w:val="24"/>
        </w:rPr>
      </w:pPr>
      <w:r w:rsidRPr="007713D9">
        <w:rPr>
          <w:rFonts w:ascii="Arial" w:hAnsi="Arial" w:cs="Arial"/>
          <w:sz w:val="24"/>
          <w:szCs w:val="24"/>
        </w:rPr>
        <w:t xml:space="preserve">Keith Evans of CCMA welcomed attendees to the </w:t>
      </w:r>
      <w:r>
        <w:rPr>
          <w:rFonts w:ascii="Arial" w:hAnsi="Arial" w:cs="Arial"/>
          <w:sz w:val="24"/>
          <w:szCs w:val="24"/>
        </w:rPr>
        <w:t>Special Purpose Meeting of the CCMA T+1</w:t>
      </w:r>
      <w:r w:rsidRPr="007713D9">
        <w:rPr>
          <w:rFonts w:ascii="Arial" w:hAnsi="Arial" w:cs="Arial"/>
          <w:sz w:val="24"/>
          <w:szCs w:val="24"/>
        </w:rPr>
        <w:t xml:space="preserve"> Steering Committee</w:t>
      </w:r>
      <w:r>
        <w:rPr>
          <w:rFonts w:ascii="Arial" w:hAnsi="Arial" w:cs="Arial"/>
          <w:sz w:val="24"/>
          <w:szCs w:val="24"/>
        </w:rPr>
        <w:t xml:space="preserve"> an Operations Working Group</w:t>
      </w:r>
      <w:r w:rsidRPr="007713D9">
        <w:rPr>
          <w:rFonts w:ascii="Arial" w:hAnsi="Arial" w:cs="Arial"/>
          <w:sz w:val="24"/>
          <w:szCs w:val="24"/>
        </w:rPr>
        <w:t xml:space="preserve">. </w:t>
      </w:r>
    </w:p>
    <w:p w:rsidR="00D23053" w:rsidRDefault="00D23053" w:rsidP="00D67FF9">
      <w:pPr>
        <w:rPr>
          <w:rFonts w:ascii="Arial" w:hAnsi="Arial" w:cs="Arial"/>
          <w:sz w:val="24"/>
          <w:szCs w:val="24"/>
        </w:rPr>
      </w:pPr>
      <w:r>
        <w:rPr>
          <w:rFonts w:ascii="Arial" w:hAnsi="Arial" w:cs="Arial"/>
          <w:sz w:val="24"/>
          <w:szCs w:val="24"/>
        </w:rPr>
        <w:t xml:space="preserve">Keith said that the purpose of the meeting was to deal with a time sensitive issue </w:t>
      </w:r>
      <w:r w:rsidR="00D67FF9">
        <w:rPr>
          <w:rFonts w:ascii="Arial" w:hAnsi="Arial" w:cs="Arial"/>
          <w:sz w:val="24"/>
          <w:szCs w:val="24"/>
        </w:rPr>
        <w:t>that has been wor</w:t>
      </w:r>
      <w:r>
        <w:rPr>
          <w:rFonts w:ascii="Arial" w:hAnsi="Arial" w:cs="Arial"/>
          <w:sz w:val="24"/>
          <w:szCs w:val="24"/>
        </w:rPr>
        <w:t>ked on by the ETF Task Force (ETFTF)</w:t>
      </w:r>
      <w:r w:rsidRPr="007713D9">
        <w:rPr>
          <w:rFonts w:ascii="Arial" w:hAnsi="Arial" w:cs="Arial"/>
          <w:sz w:val="24"/>
          <w:szCs w:val="24"/>
        </w:rPr>
        <w:t xml:space="preserve">. </w:t>
      </w:r>
      <w:r>
        <w:rPr>
          <w:rFonts w:ascii="Arial" w:hAnsi="Arial" w:cs="Arial"/>
          <w:sz w:val="24"/>
          <w:szCs w:val="24"/>
        </w:rPr>
        <w:t>He asked Jamie Anderson of CCMA, and Chair of the ETF Task Force to outline the draft Letter distributed prior to the meeting.</w:t>
      </w:r>
      <w:r w:rsidR="00D67FF9">
        <w:rPr>
          <w:rFonts w:ascii="Arial" w:hAnsi="Arial" w:cs="Arial"/>
          <w:sz w:val="24"/>
          <w:szCs w:val="24"/>
        </w:rPr>
        <w:t xml:space="preserve"> </w:t>
      </w:r>
    </w:p>
    <w:p w:rsidR="00D23053" w:rsidRDefault="00D23053" w:rsidP="00D67FF9">
      <w:pPr>
        <w:autoSpaceDE w:val="0"/>
        <w:autoSpaceDN w:val="0"/>
        <w:adjustRightInd w:val="0"/>
        <w:spacing w:before="120" w:after="0"/>
        <w:rPr>
          <w:rFonts w:ascii="Arial" w:eastAsia="Times New Roman" w:hAnsi="Arial" w:cs="Arial"/>
          <w:spacing w:val="-2"/>
          <w:sz w:val="24"/>
          <w:szCs w:val="24"/>
        </w:rPr>
      </w:pPr>
      <w:r w:rsidRPr="00D23053">
        <w:rPr>
          <w:rFonts w:ascii="Arial" w:eastAsia="Times New Roman" w:hAnsi="Arial" w:cs="Arial"/>
          <w:spacing w:val="-2"/>
          <w:sz w:val="24"/>
          <w:szCs w:val="24"/>
        </w:rPr>
        <w:t xml:space="preserve">Jamie said that the ETFTF has </w:t>
      </w:r>
      <w:r>
        <w:rPr>
          <w:rFonts w:ascii="Arial" w:eastAsia="Times New Roman" w:hAnsi="Arial" w:cs="Arial"/>
          <w:spacing w:val="-2"/>
          <w:sz w:val="24"/>
          <w:szCs w:val="24"/>
        </w:rPr>
        <w:t xml:space="preserve">been meeting </w:t>
      </w:r>
      <w:r w:rsidR="00D67FF9">
        <w:rPr>
          <w:rFonts w:ascii="Arial" w:eastAsia="Times New Roman" w:hAnsi="Arial" w:cs="Arial"/>
          <w:spacing w:val="-2"/>
          <w:sz w:val="24"/>
          <w:szCs w:val="24"/>
        </w:rPr>
        <w:t xml:space="preserve">over the past number of months </w:t>
      </w:r>
      <w:r w:rsidRPr="00D23053">
        <w:rPr>
          <w:rFonts w:ascii="Arial" w:eastAsia="Times New Roman" w:hAnsi="Arial" w:cs="Arial"/>
          <w:spacing w:val="-2"/>
          <w:sz w:val="24"/>
          <w:szCs w:val="24"/>
        </w:rPr>
        <w:t xml:space="preserve">to finalize a letter to the regulators on the acceptability of cash collateral within the primary market. The ETFTF worked together with the CETFA </w:t>
      </w:r>
      <w:r w:rsidR="00D67FF9">
        <w:rPr>
          <w:rFonts w:ascii="Arial" w:eastAsia="Times New Roman" w:hAnsi="Arial" w:cs="Arial"/>
          <w:spacing w:val="-2"/>
          <w:sz w:val="24"/>
          <w:szCs w:val="24"/>
        </w:rPr>
        <w:t xml:space="preserve">T+1 </w:t>
      </w:r>
      <w:r w:rsidRPr="00D23053">
        <w:rPr>
          <w:rFonts w:ascii="Arial" w:eastAsia="Times New Roman" w:hAnsi="Arial" w:cs="Arial"/>
          <w:spacing w:val="-2"/>
          <w:sz w:val="24"/>
          <w:szCs w:val="24"/>
        </w:rPr>
        <w:t>working group to draft a single joint (CETFA and CCMA)</w:t>
      </w:r>
      <w:r w:rsidR="0035406D">
        <w:rPr>
          <w:rFonts w:ascii="Arial" w:eastAsia="Times New Roman" w:hAnsi="Arial" w:cs="Arial"/>
          <w:spacing w:val="-2"/>
          <w:sz w:val="24"/>
          <w:szCs w:val="24"/>
        </w:rPr>
        <w:t xml:space="preserve"> letter</w:t>
      </w:r>
      <w:bookmarkStart w:id="0" w:name="_GoBack"/>
      <w:bookmarkEnd w:id="0"/>
      <w:r w:rsidRPr="00D23053">
        <w:rPr>
          <w:rFonts w:ascii="Arial" w:eastAsia="Times New Roman" w:hAnsi="Arial" w:cs="Arial"/>
          <w:spacing w:val="-2"/>
          <w:sz w:val="24"/>
          <w:szCs w:val="24"/>
        </w:rPr>
        <w:t xml:space="preserve">. If it is </w:t>
      </w:r>
      <w:r>
        <w:rPr>
          <w:rFonts w:ascii="Arial" w:eastAsia="Times New Roman" w:hAnsi="Arial" w:cs="Arial"/>
          <w:spacing w:val="-2"/>
          <w:sz w:val="24"/>
          <w:szCs w:val="24"/>
        </w:rPr>
        <w:t>approved</w:t>
      </w:r>
      <w:r w:rsidRPr="00D23053">
        <w:rPr>
          <w:rFonts w:ascii="Arial" w:eastAsia="Times New Roman" w:hAnsi="Arial" w:cs="Arial"/>
          <w:spacing w:val="-2"/>
          <w:sz w:val="24"/>
          <w:szCs w:val="24"/>
        </w:rPr>
        <w:t xml:space="preserve"> today, </w:t>
      </w:r>
      <w:r>
        <w:rPr>
          <w:rFonts w:ascii="Arial" w:eastAsia="Times New Roman" w:hAnsi="Arial" w:cs="Arial"/>
          <w:spacing w:val="-2"/>
          <w:sz w:val="24"/>
          <w:szCs w:val="24"/>
        </w:rPr>
        <w:t xml:space="preserve">and CETFA approves by the end of the week (February 23, 2024) </w:t>
      </w:r>
      <w:r w:rsidRPr="00D23053">
        <w:rPr>
          <w:rFonts w:ascii="Arial" w:eastAsia="Times New Roman" w:hAnsi="Arial" w:cs="Arial"/>
          <w:spacing w:val="-2"/>
          <w:sz w:val="24"/>
          <w:szCs w:val="24"/>
        </w:rPr>
        <w:t xml:space="preserve">the </w:t>
      </w:r>
      <w:r w:rsidR="00D67FF9">
        <w:rPr>
          <w:rFonts w:ascii="Arial" w:eastAsia="Times New Roman" w:hAnsi="Arial" w:cs="Arial"/>
          <w:spacing w:val="-2"/>
          <w:sz w:val="24"/>
          <w:szCs w:val="24"/>
        </w:rPr>
        <w:t xml:space="preserve">distributed </w:t>
      </w:r>
      <w:r>
        <w:rPr>
          <w:rFonts w:ascii="Arial" w:eastAsia="Times New Roman" w:hAnsi="Arial" w:cs="Arial"/>
          <w:spacing w:val="-2"/>
          <w:sz w:val="24"/>
          <w:szCs w:val="24"/>
        </w:rPr>
        <w:t xml:space="preserve">letter would be </w:t>
      </w:r>
      <w:r w:rsidR="00D67FF9">
        <w:rPr>
          <w:rFonts w:ascii="Arial" w:eastAsia="Times New Roman" w:hAnsi="Arial" w:cs="Arial"/>
          <w:spacing w:val="-2"/>
          <w:sz w:val="24"/>
          <w:szCs w:val="24"/>
        </w:rPr>
        <w:t xml:space="preserve">sent </w:t>
      </w:r>
      <w:r>
        <w:rPr>
          <w:rFonts w:ascii="Arial" w:eastAsia="Times New Roman" w:hAnsi="Arial" w:cs="Arial"/>
          <w:spacing w:val="-2"/>
          <w:sz w:val="24"/>
          <w:szCs w:val="24"/>
        </w:rPr>
        <w:t xml:space="preserve">to the OSC </w:t>
      </w:r>
      <w:r w:rsidR="00D67FF9">
        <w:rPr>
          <w:rFonts w:ascii="Arial" w:eastAsia="Times New Roman" w:hAnsi="Arial" w:cs="Arial"/>
          <w:spacing w:val="-2"/>
          <w:sz w:val="24"/>
          <w:szCs w:val="24"/>
        </w:rPr>
        <w:t xml:space="preserve">- </w:t>
      </w:r>
      <w:r>
        <w:rPr>
          <w:rFonts w:ascii="Arial" w:eastAsia="Times New Roman" w:hAnsi="Arial" w:cs="Arial"/>
          <w:spacing w:val="-2"/>
          <w:sz w:val="24"/>
          <w:szCs w:val="24"/>
        </w:rPr>
        <w:t xml:space="preserve">Investment Funds Division shortly thereafter. </w:t>
      </w:r>
    </w:p>
    <w:p w:rsidR="00D23053" w:rsidRPr="00D23053" w:rsidRDefault="00D23053" w:rsidP="00D67FF9">
      <w:pPr>
        <w:autoSpaceDE w:val="0"/>
        <w:autoSpaceDN w:val="0"/>
        <w:adjustRightInd w:val="0"/>
        <w:spacing w:before="120" w:after="0"/>
        <w:rPr>
          <w:rFonts w:ascii="Arial" w:eastAsia="Times New Roman" w:hAnsi="Arial" w:cs="Arial"/>
          <w:spacing w:val="-2"/>
          <w:sz w:val="24"/>
          <w:szCs w:val="24"/>
        </w:rPr>
      </w:pPr>
      <w:r w:rsidRPr="00D23053">
        <w:rPr>
          <w:rFonts w:ascii="Arial" w:eastAsia="Times New Roman" w:hAnsi="Arial" w:cs="Arial"/>
          <w:spacing w:val="-2"/>
          <w:sz w:val="24"/>
          <w:szCs w:val="24"/>
        </w:rPr>
        <w:t xml:space="preserve">The focus of the taskforce </w:t>
      </w:r>
      <w:r>
        <w:rPr>
          <w:rFonts w:ascii="Arial" w:eastAsia="Times New Roman" w:hAnsi="Arial" w:cs="Arial"/>
          <w:spacing w:val="-2"/>
          <w:sz w:val="24"/>
          <w:szCs w:val="24"/>
        </w:rPr>
        <w:t>has been to</w:t>
      </w:r>
      <w:r w:rsidRPr="00D23053">
        <w:rPr>
          <w:rFonts w:ascii="Arial" w:eastAsia="Times New Roman" w:hAnsi="Arial" w:cs="Arial"/>
          <w:spacing w:val="-2"/>
          <w:sz w:val="24"/>
          <w:szCs w:val="24"/>
        </w:rPr>
        <w:t xml:space="preserve"> work on the ability to provide ‘cash’ temporarily as part of the ETF primary market process.</w:t>
      </w:r>
      <w:r>
        <w:rPr>
          <w:rFonts w:ascii="Arial" w:eastAsia="Times New Roman" w:hAnsi="Arial" w:cs="Arial"/>
          <w:spacing w:val="-2"/>
          <w:sz w:val="24"/>
          <w:szCs w:val="24"/>
        </w:rPr>
        <w:t xml:space="preserve"> </w:t>
      </w:r>
      <w:r w:rsidR="00D67FF9">
        <w:rPr>
          <w:rFonts w:ascii="Arial" w:eastAsia="Times New Roman" w:hAnsi="Arial" w:cs="Arial"/>
          <w:spacing w:val="-2"/>
          <w:sz w:val="24"/>
          <w:szCs w:val="24"/>
        </w:rPr>
        <w:t>Jamie</w:t>
      </w:r>
      <w:r>
        <w:rPr>
          <w:rFonts w:ascii="Arial" w:eastAsia="Times New Roman" w:hAnsi="Arial" w:cs="Arial"/>
          <w:spacing w:val="-2"/>
          <w:sz w:val="24"/>
          <w:szCs w:val="24"/>
        </w:rPr>
        <w:t xml:space="preserve"> reported that </w:t>
      </w:r>
      <w:r w:rsidRPr="00D23053">
        <w:rPr>
          <w:rFonts w:ascii="Arial" w:eastAsia="Times New Roman" w:hAnsi="Arial" w:cs="Arial"/>
          <w:spacing w:val="-2"/>
          <w:sz w:val="24"/>
          <w:szCs w:val="24"/>
        </w:rPr>
        <w:t>NI 81-102 provides the rules for the primary ETF market (as well as Investment Funds).</w:t>
      </w:r>
      <w:r>
        <w:rPr>
          <w:rFonts w:ascii="Arial" w:eastAsia="Times New Roman" w:hAnsi="Arial" w:cs="Arial"/>
          <w:spacing w:val="-2"/>
          <w:sz w:val="24"/>
          <w:szCs w:val="24"/>
        </w:rPr>
        <w:t xml:space="preserve"> He said that t</w:t>
      </w:r>
      <w:r w:rsidRPr="00D23053">
        <w:rPr>
          <w:rFonts w:ascii="Arial" w:eastAsia="Times New Roman" w:hAnsi="Arial" w:cs="Arial"/>
          <w:spacing w:val="-2"/>
          <w:sz w:val="24"/>
          <w:szCs w:val="24"/>
        </w:rPr>
        <w:t>here is a lack of clarity within the industry, if cash can be substituted for an asset on the confirmation in the creation process. Some members believe you can, while others believe you cannot.</w:t>
      </w:r>
    </w:p>
    <w:p w:rsidR="00D23053" w:rsidRDefault="00D23053" w:rsidP="00D67FF9">
      <w:pPr>
        <w:autoSpaceDE w:val="0"/>
        <w:autoSpaceDN w:val="0"/>
        <w:adjustRightInd w:val="0"/>
        <w:spacing w:before="120" w:after="0"/>
        <w:rPr>
          <w:rFonts w:ascii="Arial" w:eastAsia="Times New Roman" w:hAnsi="Arial" w:cs="Arial"/>
          <w:spacing w:val="-2"/>
          <w:sz w:val="24"/>
          <w:szCs w:val="24"/>
        </w:rPr>
      </w:pPr>
      <w:r w:rsidRPr="00D23053">
        <w:rPr>
          <w:rFonts w:ascii="Arial" w:eastAsia="Times New Roman" w:hAnsi="Arial" w:cs="Arial"/>
          <w:spacing w:val="-2"/>
          <w:sz w:val="24"/>
          <w:szCs w:val="24"/>
        </w:rPr>
        <w:t>The concern in Canada is that in the primary market, if e.g. one asset of fifty securities is not available, then the entire creation of the ETF unit cannot be completed. Further, in certain circumstances, any secondary trades in the ETF will also fail until the assets are delivered for the ETF.</w:t>
      </w:r>
    </w:p>
    <w:p w:rsidR="00D23053" w:rsidRDefault="00D23053" w:rsidP="00D67FF9">
      <w:p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The distributed Letter outlines the best option for the industry, that is t</w:t>
      </w:r>
      <w:r w:rsidRPr="00D23053">
        <w:rPr>
          <w:rFonts w:ascii="Arial" w:eastAsia="Times New Roman" w:hAnsi="Arial" w:cs="Arial"/>
          <w:spacing w:val="-2"/>
          <w:sz w:val="24"/>
          <w:szCs w:val="24"/>
        </w:rPr>
        <w:t xml:space="preserve">o pursue a CSA Staff Guidance Notice to be issued that will clarify that cash is usable as a substitute for an underlying asset until such time as that asset is made available. </w:t>
      </w:r>
    </w:p>
    <w:p w:rsidR="00D67FF9" w:rsidRDefault="00D67FF9" w:rsidP="00D67FF9">
      <w:p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Jamie reviewed the draft letter in detail and answered all questions raised,</w:t>
      </w:r>
    </w:p>
    <w:p w:rsidR="00D23053" w:rsidRDefault="00D67FF9" w:rsidP="00D67FF9">
      <w:pPr>
        <w:autoSpaceDE w:val="0"/>
        <w:autoSpaceDN w:val="0"/>
        <w:adjustRightInd w:val="0"/>
        <w:spacing w:before="120" w:after="0"/>
        <w:rPr>
          <w:rFonts w:ascii="Arial" w:eastAsia="Times New Roman" w:hAnsi="Arial" w:cs="Arial"/>
          <w:b/>
          <w:spacing w:val="-2"/>
          <w:sz w:val="24"/>
          <w:szCs w:val="24"/>
        </w:rPr>
      </w:pPr>
      <w:r w:rsidRPr="00D67FF9">
        <w:rPr>
          <w:rFonts w:ascii="Arial" w:eastAsia="Times New Roman" w:hAnsi="Arial" w:cs="Arial"/>
          <w:b/>
          <w:spacing w:val="-2"/>
          <w:sz w:val="24"/>
          <w:szCs w:val="24"/>
        </w:rPr>
        <w:t>It was unanimously agreed, by all OWG and Steering Committee members in attendance, that the reviewed letter be approved for sending to the OSC as soon as possible.</w:t>
      </w:r>
    </w:p>
    <w:p w:rsidR="00477F46" w:rsidRDefault="00477F46" w:rsidP="00477F46">
      <w:pPr>
        <w:autoSpaceDE w:val="0"/>
        <w:autoSpaceDN w:val="0"/>
        <w:adjustRightInd w:val="0"/>
        <w:spacing w:before="120" w:after="0"/>
        <w:jc w:val="center"/>
        <w:rPr>
          <w:rFonts w:ascii="Arial" w:eastAsia="Times New Roman" w:hAnsi="Arial" w:cs="Arial"/>
          <w:spacing w:val="-2"/>
          <w:sz w:val="24"/>
          <w:szCs w:val="24"/>
        </w:rPr>
      </w:pPr>
      <w:r>
        <w:rPr>
          <w:rFonts w:ascii="Arial" w:eastAsia="Times New Roman" w:hAnsi="Arial" w:cs="Arial"/>
          <w:b/>
          <w:spacing w:val="-2"/>
          <w:sz w:val="24"/>
          <w:szCs w:val="24"/>
        </w:rPr>
        <w:lastRenderedPageBreak/>
        <w:t>Attendees</w:t>
      </w:r>
    </w:p>
    <w:p w:rsidR="00477F46" w:rsidRDefault="00477F46" w:rsidP="00477F46">
      <w:pPr>
        <w:spacing w:after="0" w:line="240" w:lineRule="auto"/>
        <w:rPr>
          <w:rFonts w:eastAsia="Times New Roman" w:cs="Calibri"/>
          <w:color w:val="000000"/>
        </w:rPr>
        <w:sectPr w:rsidR="00477F46">
          <w:pgSz w:w="12240" w:h="15840"/>
          <w:pgMar w:top="1440" w:right="1440" w:bottom="1440" w:left="1440" w:header="720" w:footer="720" w:gutter="0"/>
          <w:cols w:space="720"/>
          <w:docGrid w:linePitch="360"/>
        </w:sectPr>
      </w:pPr>
    </w:p>
    <w:tbl>
      <w:tblPr>
        <w:tblW w:w="4540" w:type="dxa"/>
        <w:tblLook w:val="04A0" w:firstRow="1" w:lastRow="0" w:firstColumn="1" w:lastColumn="0" w:noHBand="0" w:noVBand="1"/>
      </w:tblPr>
      <w:tblGrid>
        <w:gridCol w:w="4540"/>
      </w:tblGrid>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Abel, John F.</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Alexandre Prince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Allan Bisessar - HOOPP</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Althea Daley</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Amit Joshi</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Andrea Brake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Andrew LaFemina - TD Securities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Anna Campagnaro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Anna Tyniec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Anne-Claire Hurillon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Ashtab Ruffudeen - HOOPP</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Assane Ndoye - Desjardins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Barb Amsden - CCMA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Barry McIntyre - TDSecurities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Bernd Schwericke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Brent Blake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Calonda Brown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CANDIR</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Carol Elmalem</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Casey Als - TD</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Cathrine Drennan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cfaull</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Chinmay(TD)</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Chioma  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Dan Brennan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Daniel Bailey</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Daniel Shu</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Danny Leca CIBC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Darshin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David Connolly</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David O'Marra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David Petiteville @rbc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dcarlyle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Deepak D.</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Dennis Jiu</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b/>
                <w:bCs/>
                <w:color w:val="000000"/>
              </w:rPr>
            </w:pPr>
            <w:r w:rsidRPr="00477F46">
              <w:rPr>
                <w:rFonts w:eastAsia="Times New Roman" w:cs="Calibri"/>
                <w:b/>
                <w:bCs/>
                <w:color w:val="000000"/>
              </w:rPr>
              <w:t>Dom Sgambelluri - Co-Chair OWG</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Domenica G.</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Doug Gifford</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Elaine Partridge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Farhan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Frank Battaglini</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Franklin Lacroce OSC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Geoff Baxter - TD</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George Chung [TMX-CDS]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Giancarlo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Greg Harris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Greg Sutton - CIBC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GYee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Ha Luong - ATBIM</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Harry Li - Broadridge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Hector Toriz AMF</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Henry - Broadridge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Herman Tan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Ian Jamieson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Ibi</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Ivy Sananikone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James Merenda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James Stares FundServ</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Jamie Anderson - CCMA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Jason Dear - Scotiabank</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b/>
                <w:bCs/>
                <w:color w:val="000000"/>
              </w:rPr>
            </w:pPr>
            <w:r w:rsidRPr="00477F46">
              <w:rPr>
                <w:rFonts w:eastAsia="Times New Roman" w:cs="Calibri"/>
                <w:b/>
                <w:bCs/>
                <w:color w:val="000000"/>
              </w:rPr>
              <w:t>Jason O'Born - RBC - Co-Chair</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Jeff Lunshof</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Jing</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Joe Torres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Johann Lochner - CDS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JonesCathy @ CIBC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Jude Dant</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Judith Marcelo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Kapil Sharma (CIBC)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b/>
                <w:bCs/>
                <w:color w:val="000000"/>
              </w:rPr>
            </w:pPr>
            <w:r w:rsidRPr="00477F46">
              <w:rPr>
                <w:rFonts w:eastAsia="Times New Roman" w:cs="Calibri"/>
                <w:b/>
                <w:bCs/>
                <w:color w:val="000000"/>
              </w:rPr>
              <w:t>Keith Evans - CCMA Co-Chair</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KevinC TD</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Khadija (Kika) Boujnane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Kilee - ATB Wealth</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Laura Leitch</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Louis Lesnika - CIBC Mellon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Luisa R</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Lyndon James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Mamadou</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Manda, Navin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Mark Cicero- BMO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Marnie Perepeluk</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Matthew Andreacchi (OSC)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Mehreen H</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Michael Cagayat</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Michael Lowes - TD Securities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Michael Palmiotto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Mieka Halliday-Gunn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Mike  Bieley</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Mohamad El Habech</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Myessa - LBS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Natalia Markelova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Nav Badhan - BNYM</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Nelson Dugre-Sasseville (NBC)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Niranjan Rudraradhya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Noura Dube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Olga Svistoun - BMO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Pamela Egger</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Pascal D.</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Pat Dunwoody</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Patrick Owens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Paul Adair - Lysander Funds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Paul Salomone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Peter Burns</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Philippe Beato - NBC</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Pierre Mital - Casgrain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Raymond Lee - BMO</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Roger Yin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RosemaryM</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RuthA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Safiya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Sandra Marcoccia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Sara Zaidi</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schultzr</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Scott MacKenzie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b/>
                <w:bCs/>
                <w:color w:val="000000"/>
              </w:rPr>
            </w:pPr>
            <w:r w:rsidRPr="00477F46">
              <w:rPr>
                <w:rFonts w:eastAsia="Times New Roman" w:cs="Calibri"/>
                <w:b/>
                <w:bCs/>
                <w:color w:val="000000"/>
              </w:rPr>
              <w:t>Sheera Badial - Canaccord - Co-Chair OWG</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Silvia L</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Stef Caputo (Bank of Canada)</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Stefan Bijelic - Scotiabank</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Stephanie Leblanc-Mchenry</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Sun Young Sauve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TAE5098</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Tara Dobson (ATB)</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Thomas Chong - HOOPP</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Tom Beaton (CIBC Mellon)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Vasu Ganesan - Wealthsimple</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Walter Raposo - Cboe (iPhone 13 Pro Max)</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Weijia Luan</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Winston Poh</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wyoung</w:t>
            </w:r>
          </w:p>
        </w:tc>
      </w:tr>
      <w:tr w:rsidR="00477F46" w:rsidRPr="00477F46" w:rsidTr="00477F46">
        <w:trPr>
          <w:trHeight w:val="300"/>
        </w:trPr>
        <w:tc>
          <w:tcPr>
            <w:tcW w:w="4540" w:type="dxa"/>
            <w:tcBorders>
              <w:top w:val="nil"/>
              <w:left w:val="nil"/>
              <w:bottom w:val="nil"/>
              <w:right w:val="nil"/>
            </w:tcBorders>
            <w:shd w:val="clear" w:color="auto" w:fill="auto"/>
            <w:noWrap/>
            <w:vAlign w:val="bottom"/>
            <w:hideMark/>
          </w:tcPr>
          <w:p w:rsidR="00477F46" w:rsidRPr="00477F46" w:rsidRDefault="00477F46" w:rsidP="00477F46">
            <w:pPr>
              <w:spacing w:after="0" w:line="240" w:lineRule="auto"/>
              <w:rPr>
                <w:rFonts w:eastAsia="Times New Roman" w:cs="Calibri"/>
                <w:color w:val="000000"/>
              </w:rPr>
            </w:pPr>
            <w:r w:rsidRPr="00477F46">
              <w:rPr>
                <w:rFonts w:eastAsia="Times New Roman" w:cs="Calibri"/>
                <w:color w:val="000000"/>
              </w:rPr>
              <w:t>Yolanda Rodrigues</w:t>
            </w:r>
          </w:p>
        </w:tc>
      </w:tr>
    </w:tbl>
    <w:p w:rsidR="00477F46" w:rsidRPr="00477F46" w:rsidRDefault="00477F46" w:rsidP="00D67FF9">
      <w:pPr>
        <w:autoSpaceDE w:val="0"/>
        <w:autoSpaceDN w:val="0"/>
        <w:adjustRightInd w:val="0"/>
        <w:spacing w:before="120" w:after="0"/>
        <w:rPr>
          <w:rFonts w:ascii="Arial" w:hAnsi="Arial" w:cs="Arial"/>
          <w:sz w:val="24"/>
          <w:szCs w:val="24"/>
          <w:lang w:val="en-CA"/>
        </w:rPr>
      </w:pPr>
    </w:p>
    <w:p w:rsidR="00477F46" w:rsidRPr="00477F46" w:rsidRDefault="00477F46">
      <w:pPr>
        <w:autoSpaceDE w:val="0"/>
        <w:autoSpaceDN w:val="0"/>
        <w:adjustRightInd w:val="0"/>
        <w:spacing w:before="120" w:after="0"/>
        <w:rPr>
          <w:rFonts w:ascii="Arial" w:hAnsi="Arial" w:cs="Arial"/>
          <w:sz w:val="24"/>
          <w:szCs w:val="24"/>
          <w:lang w:val="en-CA"/>
        </w:rPr>
      </w:pPr>
    </w:p>
    <w:sectPr w:rsidR="00477F46" w:rsidRPr="00477F46" w:rsidSect="00477F46">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62" w:rsidRDefault="000E4E62" w:rsidP="00D23053">
      <w:pPr>
        <w:spacing w:after="0" w:line="240" w:lineRule="auto"/>
      </w:pPr>
      <w:r>
        <w:separator/>
      </w:r>
    </w:p>
  </w:endnote>
  <w:endnote w:type="continuationSeparator" w:id="0">
    <w:p w:rsidR="000E4E62" w:rsidRDefault="000E4E62" w:rsidP="00D2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62" w:rsidRDefault="000E4E62" w:rsidP="00D23053">
      <w:pPr>
        <w:spacing w:after="0" w:line="240" w:lineRule="auto"/>
      </w:pPr>
      <w:r>
        <w:separator/>
      </w:r>
    </w:p>
  </w:footnote>
  <w:footnote w:type="continuationSeparator" w:id="0">
    <w:p w:rsidR="000E4E62" w:rsidRDefault="000E4E62" w:rsidP="00D23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7217"/>
    <w:multiLevelType w:val="hybridMultilevel"/>
    <w:tmpl w:val="6E901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838AE20">
      <w:numFmt w:val="bullet"/>
      <w:lvlText w:val="–"/>
      <w:lvlJc w:val="left"/>
      <w:pPr>
        <w:ind w:left="2625" w:hanging="105"/>
      </w:pPr>
      <w:rPr>
        <w:rFonts w:ascii="Arial" w:eastAsia="Times New Roman" w:hAnsi="Arial" w:cs="Arial" w:hint="default"/>
        <w:u w:val="single"/>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53"/>
    <w:rsid w:val="000E4E62"/>
    <w:rsid w:val="0035406D"/>
    <w:rsid w:val="00364C54"/>
    <w:rsid w:val="00477F46"/>
    <w:rsid w:val="005B38CA"/>
    <w:rsid w:val="00D23053"/>
    <w:rsid w:val="00D6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705"/>
  <w15:chartTrackingRefBased/>
  <w15:docId w15:val="{77922768-9CA0-4938-B475-4531E68A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53"/>
    <w:pPr>
      <w:spacing w:after="12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53"/>
    <w:rPr>
      <w:color w:val="0563C1" w:themeColor="hyperlink"/>
      <w:u w:val="single"/>
    </w:rPr>
  </w:style>
  <w:style w:type="paragraph" w:styleId="FootnoteText">
    <w:name w:val="footnote text"/>
    <w:basedOn w:val="Normal"/>
    <w:link w:val="FootnoteTextChar"/>
    <w:uiPriority w:val="99"/>
    <w:semiHidden/>
    <w:unhideWhenUsed/>
    <w:rsid w:val="00D23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05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23053"/>
    <w:rPr>
      <w:vertAlign w:val="superscript"/>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D23053"/>
    <w:pPr>
      <w:ind w:left="720"/>
      <w:contextualSpacing/>
    </w:pPr>
    <w:rPr>
      <w:lang w:val="en-CA"/>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D23053"/>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39D4-9FBD-4FE7-87A2-2F0F9B65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TMX Group Limited</dc:creator>
  <cp:keywords/>
  <dc:description/>
  <cp:lastModifiedBy>TMX Group Limited</cp:lastModifiedBy>
  <cp:revision>3</cp:revision>
  <dcterms:created xsi:type="dcterms:W3CDTF">2024-02-22T19:56:00Z</dcterms:created>
  <dcterms:modified xsi:type="dcterms:W3CDTF">2024-02-27T18:25:00Z</dcterms:modified>
</cp:coreProperties>
</file>