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FB8A" w14:textId="7F72EBD8" w:rsidR="00831399" w:rsidRDefault="00831399" w:rsidP="00402928">
      <w:pPr>
        <w:tabs>
          <w:tab w:val="left" w:pos="180"/>
        </w:tabs>
        <w:spacing w:line="240" w:lineRule="auto"/>
        <w:rPr>
          <w:sz w:val="22"/>
        </w:rPr>
      </w:pPr>
    </w:p>
    <w:p w14:paraId="76CECA8E" w14:textId="1B41C64F" w:rsidR="002B6D86" w:rsidRDefault="002B6D86" w:rsidP="00402928">
      <w:pPr>
        <w:tabs>
          <w:tab w:val="left" w:pos="180"/>
        </w:tabs>
        <w:spacing w:line="240" w:lineRule="auto"/>
        <w:rPr>
          <w:sz w:val="22"/>
        </w:rPr>
      </w:pPr>
    </w:p>
    <w:p w14:paraId="7449BD7E" w14:textId="48109EC8" w:rsidR="002B6D86" w:rsidRDefault="002B6D86" w:rsidP="002B6D86">
      <w:pPr>
        <w:widowControl w:val="0"/>
        <w:kinsoku w:val="0"/>
        <w:overflowPunct w:val="0"/>
        <w:spacing w:line="240" w:lineRule="auto"/>
        <w:jc w:val="center"/>
        <w:textAlignment w:val="baseline"/>
        <w:rPr>
          <w:rFonts w:cs="Times New Roman"/>
          <w:b/>
          <w:color w:val="FF0000"/>
          <w:sz w:val="43"/>
          <w:szCs w:val="24"/>
        </w:rPr>
      </w:pPr>
      <w:r>
        <w:rPr>
          <w:rFonts w:cs="Times New Roman"/>
          <w:b/>
          <w:color w:val="FF0000"/>
          <w:sz w:val="43"/>
          <w:szCs w:val="24"/>
        </w:rPr>
        <w:t>CCMA Canadian T+</w:t>
      </w:r>
      <w:r w:rsidR="00D2147F">
        <w:rPr>
          <w:rFonts w:cs="Times New Roman"/>
          <w:b/>
          <w:color w:val="FF0000"/>
          <w:sz w:val="43"/>
          <w:szCs w:val="24"/>
        </w:rPr>
        <w:t>1</w:t>
      </w:r>
      <w:r>
        <w:rPr>
          <w:rFonts w:cs="Times New Roman"/>
          <w:b/>
          <w:color w:val="FF0000"/>
          <w:sz w:val="43"/>
          <w:szCs w:val="24"/>
        </w:rPr>
        <w:t xml:space="preserve"> Asset List</w:t>
      </w:r>
    </w:p>
    <w:p w14:paraId="4BF7855B" w14:textId="38E1E571" w:rsidR="002B6D86" w:rsidRDefault="002B6D86" w:rsidP="002B6D86">
      <w:pPr>
        <w:widowControl w:val="0"/>
        <w:kinsoku w:val="0"/>
        <w:overflowPunct w:val="0"/>
        <w:spacing w:line="240" w:lineRule="auto"/>
        <w:jc w:val="center"/>
        <w:textAlignment w:val="baseline"/>
        <w:rPr>
          <w:rFonts w:cs="Times New Roman"/>
          <w:b/>
          <w:szCs w:val="24"/>
        </w:rPr>
      </w:pPr>
      <w:r>
        <w:rPr>
          <w:rFonts w:cs="Times New Roman"/>
          <w:b/>
          <w:szCs w:val="24"/>
        </w:rPr>
        <w:t xml:space="preserve">(as at July </w:t>
      </w:r>
      <w:r w:rsidR="008918A5">
        <w:rPr>
          <w:rFonts w:cs="Times New Roman"/>
          <w:b/>
          <w:szCs w:val="24"/>
        </w:rPr>
        <w:t>31</w:t>
      </w:r>
      <w:r>
        <w:rPr>
          <w:rFonts w:cs="Times New Roman"/>
          <w:b/>
          <w:szCs w:val="24"/>
        </w:rPr>
        <w:t>, 2022)</w:t>
      </w:r>
    </w:p>
    <w:p w14:paraId="45619446" w14:textId="2364B83A" w:rsidR="002B6D86" w:rsidRDefault="002B6D86" w:rsidP="00402928">
      <w:pPr>
        <w:tabs>
          <w:tab w:val="left" w:pos="180"/>
        </w:tabs>
        <w:spacing w:line="240" w:lineRule="auto"/>
        <w:rPr>
          <w:sz w:val="22"/>
        </w:rPr>
      </w:pPr>
    </w:p>
    <w:p w14:paraId="547F7D59" w14:textId="77777777" w:rsidR="002B6D86" w:rsidRPr="00831399" w:rsidRDefault="002B6D86" w:rsidP="002B6D86">
      <w:pPr>
        <w:tabs>
          <w:tab w:val="left" w:pos="180"/>
        </w:tabs>
        <w:spacing w:line="240" w:lineRule="auto"/>
        <w:ind w:left="720"/>
        <w:rPr>
          <w:sz w:val="22"/>
        </w:rPr>
      </w:pPr>
      <w:r w:rsidRPr="00831399">
        <w:rPr>
          <w:rFonts w:asciiTheme="minorHAnsi" w:hAnsiTheme="minorHAnsi"/>
          <w:sz w:val="22"/>
        </w:rPr>
        <w:t xml:space="preserve">The T+1 Asset List identifies investments trading on </w:t>
      </w:r>
      <w:r w:rsidRPr="00831399">
        <w:rPr>
          <w:rFonts w:asciiTheme="minorHAnsi" w:hAnsiTheme="minorHAnsi" w:cstheme="minorHAnsi"/>
          <w:sz w:val="22"/>
        </w:rPr>
        <w:t xml:space="preserve">secondary markets that are expected to move from a standard T+2 to a standard T+1 settlement cycle.  It excludes ‘new issue’ transactions (such as </w:t>
      </w:r>
      <w:r w:rsidRPr="00831399">
        <w:rPr>
          <w:rFonts w:asciiTheme="minorHAnsi" w:hAnsiTheme="minorHAnsi" w:cstheme="minorHAnsi"/>
          <w:color w:val="202124"/>
          <w:sz w:val="22"/>
          <w:shd w:val="clear" w:color="auto" w:fill="FFFFFF"/>
        </w:rPr>
        <w:t xml:space="preserve">initial public offerings or </w:t>
      </w:r>
      <w:r w:rsidRPr="00831399">
        <w:rPr>
          <w:rFonts w:asciiTheme="minorHAnsi" w:hAnsiTheme="minorHAnsi" w:cstheme="minorHAnsi"/>
          <w:sz w:val="22"/>
        </w:rPr>
        <w:t xml:space="preserve">IPOs), </w:t>
      </w:r>
      <w:r w:rsidRPr="00831399">
        <w:rPr>
          <w:sz w:val="22"/>
        </w:rPr>
        <w:t>the ETF create/redeem process, current ‘special terms’ trades, and products whose settlement cycle is set out in a prospectus, including products that are not priced daily.</w:t>
      </w:r>
    </w:p>
    <w:p w14:paraId="39F8A47C" w14:textId="77777777" w:rsidR="002B6D86" w:rsidRPr="00831399" w:rsidRDefault="002B6D86" w:rsidP="002B6D86">
      <w:pPr>
        <w:spacing w:line="240" w:lineRule="auto"/>
        <w:ind w:left="720"/>
        <w:rPr>
          <w:rFonts w:asciiTheme="minorHAnsi" w:hAnsiTheme="minorHAnsi"/>
          <w:sz w:val="22"/>
        </w:rPr>
      </w:pPr>
    </w:p>
    <w:p w14:paraId="12CB0B22" w14:textId="77777777" w:rsidR="002B6D86" w:rsidRPr="00831399" w:rsidRDefault="002B6D86" w:rsidP="002B6D86">
      <w:pPr>
        <w:spacing w:line="240" w:lineRule="auto"/>
        <w:ind w:left="720"/>
        <w:rPr>
          <w:sz w:val="22"/>
        </w:rPr>
      </w:pPr>
      <w:r w:rsidRPr="00831399">
        <w:rPr>
          <w:rFonts w:asciiTheme="minorHAnsi" w:hAnsiTheme="minorHAnsi"/>
          <w:sz w:val="22"/>
        </w:rPr>
        <w:t xml:space="preserve">This </w:t>
      </w:r>
      <w:r w:rsidRPr="00831399">
        <w:rPr>
          <w:sz w:val="22"/>
        </w:rPr>
        <w:t xml:space="preserve">list of investment products that CCMA members believe will adopt a shorter </w:t>
      </w:r>
      <w:r w:rsidRPr="00831399">
        <w:rPr>
          <w:b/>
          <w:bCs/>
          <w:sz w:val="22"/>
        </w:rPr>
        <w:t>standard</w:t>
      </w:r>
      <w:r w:rsidRPr="00831399">
        <w:rPr>
          <w:sz w:val="22"/>
        </w:rPr>
        <w:t xml:space="preserve"> settlement cycle of T+1 in 2024 has been subject to three requests for review, and, with the CCMA’s T+1 Steering Committee approval, also was made available for public input.  The list reflects comments received</w:t>
      </w:r>
      <w:r>
        <w:rPr>
          <w:sz w:val="22"/>
        </w:rPr>
        <w:t xml:space="preserve"> (see notes on last page)</w:t>
      </w:r>
      <w:r w:rsidRPr="00831399">
        <w:rPr>
          <w:sz w:val="22"/>
        </w:rPr>
        <w:t>.</w:t>
      </w:r>
    </w:p>
    <w:p w14:paraId="1276C1EA" w14:textId="77777777" w:rsidR="002B6D86" w:rsidRPr="00831399" w:rsidRDefault="002B6D86" w:rsidP="002B6D86">
      <w:pPr>
        <w:spacing w:line="240" w:lineRule="auto"/>
        <w:ind w:left="720"/>
        <w:rPr>
          <w:sz w:val="22"/>
        </w:rPr>
      </w:pPr>
    </w:p>
    <w:p w14:paraId="70F9E813" w14:textId="77777777" w:rsidR="002B6D86" w:rsidRPr="00831399" w:rsidRDefault="002B6D86" w:rsidP="002B6D86">
      <w:pPr>
        <w:spacing w:line="240" w:lineRule="auto"/>
        <w:ind w:left="720"/>
        <w:rPr>
          <w:b/>
          <w:bCs/>
          <w:sz w:val="22"/>
          <w:u w:val="single"/>
        </w:rPr>
      </w:pPr>
      <w:r w:rsidRPr="00831399">
        <w:rPr>
          <w:sz w:val="22"/>
        </w:rPr>
        <w:t xml:space="preserve">During the T+2 project, while there were two updates to the first ‘final’ version of the list as new information emerged, changes were minimal.  </w:t>
      </w:r>
      <w:r w:rsidRPr="00831399">
        <w:rPr>
          <w:b/>
          <w:bCs/>
          <w:sz w:val="22"/>
        </w:rPr>
        <w:t>At present, the only outstanding securities categor</w:t>
      </w:r>
      <w:r>
        <w:rPr>
          <w:b/>
          <w:bCs/>
          <w:sz w:val="22"/>
        </w:rPr>
        <w:t>ies</w:t>
      </w:r>
      <w:r w:rsidRPr="00831399">
        <w:rPr>
          <w:b/>
          <w:bCs/>
          <w:sz w:val="22"/>
        </w:rPr>
        <w:t xml:space="preserve"> where a decision on moving to T+1 has yet to be made </w:t>
      </w:r>
      <w:r>
        <w:rPr>
          <w:b/>
          <w:bCs/>
          <w:sz w:val="22"/>
        </w:rPr>
        <w:t xml:space="preserve">are </w:t>
      </w:r>
      <w:r w:rsidRPr="004C2D44">
        <w:rPr>
          <w:b/>
          <w:bCs/>
          <w:sz w:val="22"/>
          <w:u w:val="single"/>
        </w:rPr>
        <w:t>mutual funds</w:t>
      </w:r>
      <w:r>
        <w:rPr>
          <w:b/>
          <w:bCs/>
          <w:sz w:val="22"/>
        </w:rPr>
        <w:t xml:space="preserve"> and </w:t>
      </w:r>
      <w:r w:rsidRPr="004C2D44">
        <w:rPr>
          <w:b/>
          <w:bCs/>
          <w:sz w:val="22"/>
          <w:u w:val="single"/>
        </w:rPr>
        <w:t>segregated funds</w:t>
      </w:r>
      <w:r w:rsidRPr="00831399">
        <w:rPr>
          <w:b/>
          <w:bCs/>
          <w:sz w:val="22"/>
        </w:rPr>
        <w:t>, and the list will be updated once a conclusion is reached.</w:t>
      </w:r>
      <w:r w:rsidRPr="00831399">
        <w:rPr>
          <w:sz w:val="22"/>
        </w:rPr>
        <w:t xml:space="preserve">  </w:t>
      </w:r>
      <w:r w:rsidRPr="00831399">
        <w:rPr>
          <w:b/>
          <w:bCs/>
          <w:sz w:val="22"/>
        </w:rPr>
        <w:t xml:space="preserve">If a new product emerges, or there is uncertainty about any specific product in the meantime, please send questions or comments to </w:t>
      </w:r>
      <w:hyperlink r:id="rId8" w:history="1">
        <w:r w:rsidRPr="00831399">
          <w:rPr>
            <w:rStyle w:val="Hyperlink"/>
            <w:b/>
            <w:bCs/>
            <w:sz w:val="22"/>
          </w:rPr>
          <w:t>info@ccma-acmc.ca</w:t>
        </w:r>
      </w:hyperlink>
      <w:r w:rsidRPr="00831399">
        <w:rPr>
          <w:rStyle w:val="Hyperlink"/>
          <w:b/>
          <w:bCs/>
          <w:sz w:val="22"/>
        </w:rPr>
        <w:t>.</w:t>
      </w:r>
      <w:bookmarkStart w:id="0" w:name="_Hlk104100948"/>
    </w:p>
    <w:bookmarkEnd w:id="0"/>
    <w:p w14:paraId="3E491857" w14:textId="77777777" w:rsidR="002B6D86" w:rsidRPr="00831399" w:rsidRDefault="002B6D86" w:rsidP="002B6D86">
      <w:pPr>
        <w:tabs>
          <w:tab w:val="left" w:pos="180"/>
        </w:tabs>
        <w:spacing w:line="240" w:lineRule="auto"/>
        <w:ind w:left="720"/>
        <w:rPr>
          <w:rFonts w:asciiTheme="minorHAnsi" w:hAnsiTheme="minorHAnsi"/>
          <w:sz w:val="22"/>
          <w:lang w:val="en-US"/>
        </w:rPr>
      </w:pPr>
    </w:p>
    <w:p w14:paraId="153789C4" w14:textId="77777777" w:rsidR="002B6D86" w:rsidRPr="00831399" w:rsidRDefault="002B6D86" w:rsidP="002B6D86">
      <w:pPr>
        <w:tabs>
          <w:tab w:val="left" w:pos="180"/>
        </w:tabs>
        <w:spacing w:line="240" w:lineRule="auto"/>
        <w:ind w:left="720"/>
        <w:rPr>
          <w:sz w:val="22"/>
        </w:rPr>
      </w:pPr>
      <w:r w:rsidRPr="00831399">
        <w:rPr>
          <w:rFonts w:asciiTheme="minorHAnsi" w:hAnsiTheme="minorHAnsi"/>
          <w:b/>
          <w:bCs/>
          <w:sz w:val="22"/>
          <w:lang w:val="en-US"/>
        </w:rPr>
        <w:t>Note:</w:t>
      </w:r>
      <w:r w:rsidRPr="00831399">
        <w:rPr>
          <w:rFonts w:asciiTheme="minorHAnsi" w:hAnsiTheme="minorHAnsi"/>
          <w:sz w:val="22"/>
          <w:lang w:val="en-US"/>
        </w:rPr>
        <w:t xml:space="preserve">  </w:t>
      </w:r>
      <w:r w:rsidRPr="00831399">
        <w:rPr>
          <w:rFonts w:asciiTheme="minorHAnsi" w:hAnsiTheme="minorHAnsi"/>
          <w:sz w:val="22"/>
        </w:rPr>
        <w:t xml:space="preserve">For convenience, sold/redeemed (in contrast to traded) securities – for example, investment funds broadly speaking, most often settled through the facilities of Fundserv – have been copied and reproduced in a separate table (starting on page </w:t>
      </w:r>
      <w:r>
        <w:rPr>
          <w:rFonts w:asciiTheme="minorHAnsi" w:hAnsiTheme="minorHAnsi"/>
          <w:sz w:val="22"/>
        </w:rPr>
        <w:t>6</w:t>
      </w:r>
      <w:r w:rsidRPr="00831399">
        <w:rPr>
          <w:rFonts w:asciiTheme="minorHAnsi" w:hAnsiTheme="minorHAnsi"/>
          <w:sz w:val="22"/>
        </w:rPr>
        <w:t xml:space="preserve">) with </w:t>
      </w:r>
      <w:r w:rsidRPr="00831399">
        <w:rPr>
          <w:rFonts w:asciiTheme="minorHAnsi" w:hAnsiTheme="minorHAnsi"/>
          <w:sz w:val="22"/>
          <w:lang w:val="en-US"/>
        </w:rPr>
        <w:t>other fund/fund-like investment options</w:t>
      </w:r>
      <w:r w:rsidRPr="00831399">
        <w:rPr>
          <w:rFonts w:asciiTheme="minorHAnsi" w:hAnsiTheme="minorHAnsi"/>
          <w:sz w:val="22"/>
        </w:rPr>
        <w:t>.</w:t>
      </w:r>
      <w:r w:rsidRPr="00831399">
        <w:rPr>
          <w:sz w:val="22"/>
        </w:rPr>
        <w:t xml:space="preserve">  For completeness, this </w:t>
      </w:r>
      <w:r>
        <w:rPr>
          <w:sz w:val="22"/>
        </w:rPr>
        <w:t xml:space="preserve">also </w:t>
      </w:r>
      <w:r w:rsidRPr="00831399">
        <w:rPr>
          <w:sz w:val="22"/>
        </w:rPr>
        <w:t xml:space="preserve">includes a list of investment funds that do </w:t>
      </w:r>
      <w:r w:rsidRPr="00831399">
        <w:rPr>
          <w:i/>
          <w:sz w:val="22"/>
        </w:rPr>
        <w:t>not</w:t>
      </w:r>
      <w:r w:rsidRPr="00831399">
        <w:rPr>
          <w:sz w:val="22"/>
        </w:rPr>
        <w:t xml:space="preserve"> fall under National Instrument 81-102 </w:t>
      </w:r>
      <w:r w:rsidRPr="00831399">
        <w:rPr>
          <w:i/>
          <w:sz w:val="22"/>
        </w:rPr>
        <w:t>Investment Funds</w:t>
      </w:r>
      <w:r w:rsidRPr="00831399">
        <w:rPr>
          <w:sz w:val="22"/>
        </w:rPr>
        <w:t>.</w:t>
      </w:r>
    </w:p>
    <w:p w14:paraId="69FC40BD" w14:textId="071CE2A4" w:rsidR="002B6D86" w:rsidRDefault="002B6D86" w:rsidP="00402928">
      <w:pPr>
        <w:tabs>
          <w:tab w:val="left" w:pos="180"/>
        </w:tabs>
        <w:spacing w:line="240" w:lineRule="auto"/>
        <w:rPr>
          <w:sz w:val="22"/>
        </w:rPr>
      </w:pPr>
    </w:p>
    <w:p w14:paraId="00C72AD4" w14:textId="77777777" w:rsidR="00831399" w:rsidRPr="00F12CE3" w:rsidRDefault="00831399" w:rsidP="00866781">
      <w:pPr>
        <w:tabs>
          <w:tab w:val="left" w:pos="180"/>
        </w:tabs>
        <w:spacing w:line="240" w:lineRule="auto"/>
        <w:ind w:left="720"/>
        <w:rPr>
          <w:rFonts w:asciiTheme="minorHAnsi" w:hAnsiTheme="minorHAnsi"/>
          <w:sz w:val="20"/>
          <w:lang w:val="en-US"/>
        </w:rPr>
      </w:pPr>
    </w:p>
    <w:p w14:paraId="0724ED64" w14:textId="717C9DFF" w:rsidR="00866781" w:rsidRPr="00E33D98" w:rsidRDefault="005E521A" w:rsidP="005E521A">
      <w:pPr>
        <w:ind w:left="90"/>
        <w:jc w:val="center"/>
        <w:rPr>
          <w:b/>
          <w:sz w:val="24"/>
          <w:szCs w:val="24"/>
          <w:lang w:val="en-US"/>
        </w:rPr>
      </w:pPr>
      <w:r w:rsidRPr="00F12CE3">
        <w:rPr>
          <w:b/>
          <w:sz w:val="24"/>
          <w:szCs w:val="24"/>
        </w:rPr>
        <w:t>EXCHANGE AND OVER-THE-COUNTER</w:t>
      </w:r>
      <w:r w:rsidRPr="00F12CE3">
        <w:rPr>
          <w:b/>
          <w:sz w:val="24"/>
          <w:szCs w:val="24"/>
          <w:lang w:val="en-US"/>
        </w:rPr>
        <w:t>/NON-EXCHANGE ASSETS</w:t>
      </w:r>
    </w:p>
    <w:p w14:paraId="74E73BB5" w14:textId="77777777" w:rsidR="00AB09C5" w:rsidRPr="001225D5" w:rsidRDefault="00AB09C5" w:rsidP="008961CA">
      <w:pPr>
        <w:tabs>
          <w:tab w:val="left" w:pos="180"/>
        </w:tabs>
        <w:spacing w:line="240" w:lineRule="auto"/>
        <w:ind w:left="720"/>
        <w:rPr>
          <w:rFonts w:asciiTheme="minorHAnsi" w:hAnsiTheme="minorHAnsi"/>
          <w:sz w:val="16"/>
          <w:szCs w:val="16"/>
        </w:rPr>
      </w:pPr>
    </w:p>
    <w:tbl>
      <w:tblPr>
        <w:tblStyle w:val="TableGrid"/>
        <w:tblW w:w="11071" w:type="dxa"/>
        <w:tblInd w:w="265" w:type="dxa"/>
        <w:tblLayout w:type="fixed"/>
        <w:tblLook w:val="04A0" w:firstRow="1" w:lastRow="0" w:firstColumn="1" w:lastColumn="0" w:noHBand="0" w:noVBand="1"/>
      </w:tblPr>
      <w:tblGrid>
        <w:gridCol w:w="1981"/>
        <w:gridCol w:w="3759"/>
        <w:gridCol w:w="2435"/>
        <w:gridCol w:w="2896"/>
      </w:tblGrid>
      <w:tr w:rsidR="008531F6" w:rsidRPr="0066535E" w14:paraId="275A283D" w14:textId="77777777" w:rsidTr="0056173B">
        <w:trPr>
          <w:tblHeader/>
        </w:trPr>
        <w:tc>
          <w:tcPr>
            <w:tcW w:w="1981" w:type="dxa"/>
            <w:tcBorders>
              <w:bottom w:val="single" w:sz="6" w:space="0" w:color="auto"/>
            </w:tcBorders>
          </w:tcPr>
          <w:p w14:paraId="0D1C735A" w14:textId="77777777" w:rsidR="008531F6" w:rsidRPr="00DA6EA8" w:rsidRDefault="008531F6" w:rsidP="008A38E7">
            <w:pPr>
              <w:jc w:val="center"/>
              <w:rPr>
                <w:b/>
                <w:sz w:val="20"/>
              </w:rPr>
            </w:pPr>
            <w:r w:rsidRPr="00DA6EA8">
              <w:rPr>
                <w:b/>
                <w:sz w:val="20"/>
              </w:rPr>
              <w:t>Security Type</w:t>
            </w:r>
          </w:p>
        </w:tc>
        <w:tc>
          <w:tcPr>
            <w:tcW w:w="3759" w:type="dxa"/>
            <w:tcBorders>
              <w:bottom w:val="single" w:sz="6" w:space="0" w:color="auto"/>
            </w:tcBorders>
          </w:tcPr>
          <w:p w14:paraId="1781F47A" w14:textId="77777777" w:rsidR="008531F6" w:rsidRPr="00DA6EA8" w:rsidRDefault="008531F6" w:rsidP="008A38E7">
            <w:pPr>
              <w:jc w:val="center"/>
              <w:rPr>
                <w:b/>
                <w:sz w:val="20"/>
              </w:rPr>
            </w:pPr>
            <w:r w:rsidRPr="00DA6EA8">
              <w:rPr>
                <w:b/>
                <w:sz w:val="20"/>
              </w:rPr>
              <w:t>Description</w:t>
            </w:r>
          </w:p>
        </w:tc>
        <w:tc>
          <w:tcPr>
            <w:tcW w:w="2435" w:type="dxa"/>
            <w:tcBorders>
              <w:bottom w:val="single" w:sz="6" w:space="0" w:color="auto"/>
            </w:tcBorders>
          </w:tcPr>
          <w:p w14:paraId="6F8CA94F" w14:textId="0A20DEE6" w:rsidR="008531F6" w:rsidRPr="00DA6EA8" w:rsidRDefault="00637301" w:rsidP="008A38E7">
            <w:pPr>
              <w:jc w:val="center"/>
              <w:rPr>
                <w:b/>
                <w:sz w:val="20"/>
              </w:rPr>
            </w:pPr>
            <w:r w:rsidRPr="00DA6EA8">
              <w:rPr>
                <w:b/>
                <w:sz w:val="20"/>
              </w:rPr>
              <w:t xml:space="preserve">Shorten to </w:t>
            </w:r>
            <w:r w:rsidR="008531F6" w:rsidRPr="00DA6EA8">
              <w:rPr>
                <w:b/>
                <w:sz w:val="20"/>
              </w:rPr>
              <w:t>T+</w:t>
            </w:r>
            <w:r w:rsidR="008164E8">
              <w:rPr>
                <w:b/>
                <w:sz w:val="20"/>
                <w:szCs w:val="20"/>
              </w:rPr>
              <w:t>1</w:t>
            </w:r>
            <w:r w:rsidR="008531F6" w:rsidRPr="00DA6EA8">
              <w:rPr>
                <w:b/>
                <w:sz w:val="20"/>
              </w:rPr>
              <w:t>?</w:t>
            </w:r>
            <w:r w:rsidR="009258DA" w:rsidRPr="00DA6EA8" w:rsidDel="009258DA">
              <w:rPr>
                <w:b/>
                <w:sz w:val="20"/>
              </w:rPr>
              <w:t xml:space="preserve"> </w:t>
            </w:r>
            <w:r w:rsidR="008531F6" w:rsidRPr="00DA6EA8">
              <w:rPr>
                <w:b/>
                <w:sz w:val="20"/>
              </w:rPr>
              <w:t>Yes/No</w:t>
            </w:r>
          </w:p>
        </w:tc>
        <w:tc>
          <w:tcPr>
            <w:tcW w:w="2896" w:type="dxa"/>
            <w:tcBorders>
              <w:bottom w:val="single" w:sz="6" w:space="0" w:color="auto"/>
            </w:tcBorders>
          </w:tcPr>
          <w:p w14:paraId="0248365C" w14:textId="77777777" w:rsidR="008531F6" w:rsidRPr="00DA6EA8" w:rsidRDefault="008531F6" w:rsidP="008A38E7">
            <w:pPr>
              <w:jc w:val="center"/>
              <w:rPr>
                <w:b/>
                <w:sz w:val="20"/>
              </w:rPr>
            </w:pPr>
            <w:r w:rsidRPr="00DA6EA8">
              <w:rPr>
                <w:b/>
                <w:sz w:val="20"/>
              </w:rPr>
              <w:t>Comments</w:t>
            </w:r>
          </w:p>
        </w:tc>
      </w:tr>
      <w:tr w:rsidR="009258DA" w:rsidRPr="00C86D2C" w14:paraId="7DFF30FF" w14:textId="77777777" w:rsidTr="0056173B">
        <w:tc>
          <w:tcPr>
            <w:tcW w:w="11071" w:type="dxa"/>
            <w:gridSpan w:val="4"/>
            <w:tcBorders>
              <w:top w:val="single" w:sz="6" w:space="0" w:color="auto"/>
              <w:bottom w:val="single" w:sz="6" w:space="0" w:color="auto"/>
            </w:tcBorders>
          </w:tcPr>
          <w:p w14:paraId="48C66435" w14:textId="77777777" w:rsidR="009258DA" w:rsidRPr="008A38E7" w:rsidRDefault="009258DA" w:rsidP="008A38E7">
            <w:pPr>
              <w:jc w:val="center"/>
              <w:rPr>
                <w:b/>
                <w:sz w:val="24"/>
              </w:rPr>
            </w:pPr>
            <w:r w:rsidRPr="00DA6EA8">
              <w:rPr>
                <w:b/>
                <w:color w:val="FF0000"/>
                <w:sz w:val="24"/>
              </w:rPr>
              <w:t>Cash and Equivalents</w:t>
            </w:r>
          </w:p>
        </w:tc>
      </w:tr>
      <w:tr w:rsidR="008531F6" w:rsidRPr="001A67CD" w14:paraId="32762524" w14:textId="77777777" w:rsidTr="0056173B">
        <w:tc>
          <w:tcPr>
            <w:tcW w:w="1981" w:type="dxa"/>
            <w:tcBorders>
              <w:top w:val="single" w:sz="6" w:space="0" w:color="auto"/>
            </w:tcBorders>
          </w:tcPr>
          <w:p w14:paraId="4207AE7B" w14:textId="77777777" w:rsidR="008531F6" w:rsidRPr="00DA6EA8" w:rsidRDefault="008531F6">
            <w:pPr>
              <w:pStyle w:val="ListParagraph"/>
              <w:numPr>
                <w:ilvl w:val="0"/>
                <w:numId w:val="5"/>
              </w:numPr>
              <w:rPr>
                <w:sz w:val="20"/>
              </w:rPr>
            </w:pPr>
            <w:r w:rsidRPr="00DA6EA8">
              <w:rPr>
                <w:sz w:val="20"/>
              </w:rPr>
              <w:t>Cash</w:t>
            </w:r>
          </w:p>
        </w:tc>
        <w:tc>
          <w:tcPr>
            <w:tcW w:w="3759" w:type="dxa"/>
            <w:tcBorders>
              <w:top w:val="single" w:sz="6" w:space="0" w:color="auto"/>
            </w:tcBorders>
          </w:tcPr>
          <w:p w14:paraId="3BBD8AA9" w14:textId="2A13C1D2" w:rsidR="008531F6" w:rsidRPr="00DA6EA8" w:rsidRDefault="008531F6" w:rsidP="008A38E7">
            <w:pPr>
              <w:rPr>
                <w:sz w:val="20"/>
              </w:rPr>
            </w:pPr>
            <w:r w:rsidRPr="00DA6EA8">
              <w:rPr>
                <w:sz w:val="20"/>
              </w:rPr>
              <w:t>Cash balances (regardless of currency</w:t>
            </w:r>
            <w:r w:rsidRPr="001A67CD">
              <w:rPr>
                <w:sz w:val="20"/>
                <w:szCs w:val="20"/>
              </w:rPr>
              <w:t>)</w:t>
            </w:r>
          </w:p>
        </w:tc>
        <w:tc>
          <w:tcPr>
            <w:tcW w:w="2435" w:type="dxa"/>
            <w:tcBorders>
              <w:top w:val="single" w:sz="6" w:space="0" w:color="auto"/>
            </w:tcBorders>
          </w:tcPr>
          <w:p w14:paraId="717D5766" w14:textId="77777777" w:rsidR="008531F6" w:rsidRPr="00DA6EA8" w:rsidRDefault="00CA5CDE" w:rsidP="008A38E7">
            <w:pPr>
              <w:jc w:val="center"/>
              <w:rPr>
                <w:sz w:val="20"/>
              </w:rPr>
            </w:pPr>
            <w:r w:rsidRPr="00DA6EA8">
              <w:rPr>
                <w:sz w:val="20"/>
              </w:rPr>
              <w:t>NO</w:t>
            </w:r>
          </w:p>
        </w:tc>
        <w:tc>
          <w:tcPr>
            <w:tcW w:w="2896" w:type="dxa"/>
            <w:tcBorders>
              <w:top w:val="single" w:sz="6" w:space="0" w:color="auto"/>
            </w:tcBorders>
          </w:tcPr>
          <w:p w14:paraId="708ED45F" w14:textId="77777777" w:rsidR="008531F6" w:rsidRPr="00DA6EA8" w:rsidRDefault="00A95C9E" w:rsidP="008A38E7">
            <w:pPr>
              <w:rPr>
                <w:sz w:val="20"/>
              </w:rPr>
            </w:pPr>
            <w:r w:rsidRPr="00DA6EA8">
              <w:rPr>
                <w:sz w:val="20"/>
              </w:rPr>
              <w:t>No change</w:t>
            </w:r>
          </w:p>
        </w:tc>
      </w:tr>
      <w:tr w:rsidR="008531F6" w:rsidRPr="001A67CD" w14:paraId="2FEBC001" w14:textId="77777777" w:rsidTr="0056173B">
        <w:tc>
          <w:tcPr>
            <w:tcW w:w="1981" w:type="dxa"/>
          </w:tcPr>
          <w:p w14:paraId="797BADD1" w14:textId="77777777" w:rsidR="008531F6" w:rsidRPr="00DA6EA8" w:rsidRDefault="008531F6">
            <w:pPr>
              <w:pStyle w:val="ListParagraph"/>
              <w:numPr>
                <w:ilvl w:val="0"/>
                <w:numId w:val="5"/>
              </w:numPr>
              <w:ind w:right="-105"/>
              <w:rPr>
                <w:sz w:val="20"/>
              </w:rPr>
            </w:pPr>
            <w:r w:rsidRPr="00DA6EA8">
              <w:rPr>
                <w:sz w:val="20"/>
              </w:rPr>
              <w:t>Cashable Guaranteed Investment Certificates</w:t>
            </w:r>
            <w:r w:rsidR="007D327D" w:rsidRPr="00DA6EA8">
              <w:rPr>
                <w:sz w:val="20"/>
              </w:rPr>
              <w:t xml:space="preserve"> (GICs)</w:t>
            </w:r>
          </w:p>
        </w:tc>
        <w:tc>
          <w:tcPr>
            <w:tcW w:w="3759" w:type="dxa"/>
          </w:tcPr>
          <w:p w14:paraId="18C81FAB" w14:textId="103D9B56" w:rsidR="008531F6" w:rsidRPr="00DA6EA8" w:rsidRDefault="008531F6" w:rsidP="008A38E7">
            <w:pPr>
              <w:rPr>
                <w:sz w:val="20"/>
              </w:rPr>
            </w:pPr>
            <w:r w:rsidRPr="00DA6EA8">
              <w:rPr>
                <w:sz w:val="20"/>
              </w:rPr>
              <w:t>Only liquid GICs (redeemable) are to be included as a cash equivalent</w:t>
            </w:r>
            <w:r w:rsidR="00E12373" w:rsidRPr="00DA6EA8">
              <w:rPr>
                <w:sz w:val="20"/>
              </w:rPr>
              <w:t>.</w:t>
            </w:r>
          </w:p>
        </w:tc>
        <w:tc>
          <w:tcPr>
            <w:tcW w:w="2435" w:type="dxa"/>
            <w:vAlign w:val="center"/>
          </w:tcPr>
          <w:p w14:paraId="50739699" w14:textId="77777777" w:rsidR="008531F6" w:rsidRPr="00DA6EA8" w:rsidRDefault="00CA5CDE" w:rsidP="008A38E7">
            <w:pPr>
              <w:jc w:val="center"/>
              <w:rPr>
                <w:sz w:val="20"/>
              </w:rPr>
            </w:pPr>
            <w:r w:rsidRPr="00DA6EA8">
              <w:rPr>
                <w:sz w:val="20"/>
              </w:rPr>
              <w:t>NO</w:t>
            </w:r>
          </w:p>
        </w:tc>
        <w:tc>
          <w:tcPr>
            <w:tcW w:w="2896" w:type="dxa"/>
            <w:vAlign w:val="center"/>
          </w:tcPr>
          <w:p w14:paraId="7D653D40" w14:textId="17116653" w:rsidR="008531F6" w:rsidRPr="008A38E7" w:rsidRDefault="008531F6" w:rsidP="008A38E7">
            <w:pPr>
              <w:rPr>
                <w:sz w:val="20"/>
              </w:rPr>
            </w:pPr>
            <w:r w:rsidRPr="008A38E7">
              <w:rPr>
                <w:sz w:val="20"/>
              </w:rPr>
              <w:t xml:space="preserve">Default settlement of </w:t>
            </w:r>
            <w:r w:rsidRPr="00CE792C">
              <w:rPr>
                <w:sz w:val="20"/>
                <w:szCs w:val="20"/>
              </w:rPr>
              <w:t>GICs</w:t>
            </w:r>
            <w:r w:rsidRPr="008A38E7">
              <w:rPr>
                <w:sz w:val="20"/>
              </w:rPr>
              <w:t xml:space="preserve"> is T (same day)</w:t>
            </w:r>
            <w:r w:rsidR="008556B5" w:rsidRPr="008A38E7">
              <w:rPr>
                <w:sz w:val="20"/>
              </w:rPr>
              <w:t>,</w:t>
            </w:r>
            <w:r w:rsidRPr="008A38E7">
              <w:rPr>
                <w:sz w:val="20"/>
              </w:rPr>
              <w:t xml:space="preserve"> however</w:t>
            </w:r>
            <w:r w:rsidR="008556B5" w:rsidRPr="008A38E7">
              <w:rPr>
                <w:sz w:val="20"/>
              </w:rPr>
              <w:t>,</w:t>
            </w:r>
            <w:r w:rsidRPr="008A38E7">
              <w:rPr>
                <w:sz w:val="20"/>
              </w:rPr>
              <w:t xml:space="preserve"> parties may agree on delayed settlement conditions</w:t>
            </w:r>
          </w:p>
        </w:tc>
      </w:tr>
      <w:tr w:rsidR="008531F6" w:rsidRPr="001A67CD" w14:paraId="76780E9F" w14:textId="77777777" w:rsidTr="0056173B">
        <w:tc>
          <w:tcPr>
            <w:tcW w:w="1981" w:type="dxa"/>
          </w:tcPr>
          <w:p w14:paraId="0231B4AB" w14:textId="77777777" w:rsidR="008531F6" w:rsidRPr="00DA6EA8" w:rsidRDefault="008531F6">
            <w:pPr>
              <w:pStyle w:val="ListParagraph"/>
              <w:numPr>
                <w:ilvl w:val="0"/>
                <w:numId w:val="5"/>
              </w:numPr>
              <w:rPr>
                <w:sz w:val="20"/>
              </w:rPr>
            </w:pPr>
            <w:r w:rsidRPr="00DA6EA8">
              <w:rPr>
                <w:sz w:val="20"/>
              </w:rPr>
              <w:t>High-Interest Savings Accounts (HISAs)</w:t>
            </w:r>
          </w:p>
        </w:tc>
        <w:tc>
          <w:tcPr>
            <w:tcW w:w="3759" w:type="dxa"/>
          </w:tcPr>
          <w:p w14:paraId="47ECB07A" w14:textId="267CEF9C" w:rsidR="008531F6" w:rsidRPr="00DA6EA8" w:rsidRDefault="008531F6" w:rsidP="008A38E7">
            <w:pPr>
              <w:rPr>
                <w:sz w:val="20"/>
              </w:rPr>
            </w:pPr>
            <w:r w:rsidRPr="00DA6EA8">
              <w:rPr>
                <w:sz w:val="20"/>
              </w:rPr>
              <w:t>It is assumed that all HISAs provide timely liquidity (full or partial)</w:t>
            </w:r>
            <w:r w:rsidR="00E12373" w:rsidRPr="00DA6EA8">
              <w:rPr>
                <w:sz w:val="20"/>
              </w:rPr>
              <w:t>.</w:t>
            </w:r>
          </w:p>
        </w:tc>
        <w:tc>
          <w:tcPr>
            <w:tcW w:w="2435" w:type="dxa"/>
            <w:vAlign w:val="center"/>
          </w:tcPr>
          <w:p w14:paraId="5E3B268A" w14:textId="77777777" w:rsidR="008531F6" w:rsidRPr="00DA6EA8" w:rsidRDefault="00CA5CDE" w:rsidP="008A38E7">
            <w:pPr>
              <w:jc w:val="center"/>
              <w:rPr>
                <w:sz w:val="20"/>
              </w:rPr>
            </w:pPr>
            <w:r w:rsidRPr="00DA6EA8">
              <w:rPr>
                <w:sz w:val="20"/>
              </w:rPr>
              <w:t>NO</w:t>
            </w:r>
          </w:p>
        </w:tc>
        <w:tc>
          <w:tcPr>
            <w:tcW w:w="2896" w:type="dxa"/>
            <w:vAlign w:val="center"/>
          </w:tcPr>
          <w:p w14:paraId="1E427465" w14:textId="77777777" w:rsidR="008531F6" w:rsidRPr="00DA6EA8" w:rsidRDefault="008531F6" w:rsidP="008A38E7">
            <w:pPr>
              <w:rPr>
                <w:sz w:val="20"/>
              </w:rPr>
            </w:pPr>
            <w:r w:rsidRPr="00DA6EA8">
              <w:rPr>
                <w:sz w:val="20"/>
              </w:rPr>
              <w:t>Already T+1 settlement</w:t>
            </w:r>
          </w:p>
        </w:tc>
      </w:tr>
      <w:tr w:rsidR="008531F6" w:rsidRPr="001A67CD" w14:paraId="4100365E" w14:textId="77777777" w:rsidTr="0056173B">
        <w:tc>
          <w:tcPr>
            <w:tcW w:w="1981" w:type="dxa"/>
          </w:tcPr>
          <w:p w14:paraId="76D5D1FC" w14:textId="77777777" w:rsidR="008531F6" w:rsidRPr="00DA6EA8" w:rsidRDefault="008531F6">
            <w:pPr>
              <w:pStyle w:val="ListParagraph"/>
              <w:numPr>
                <w:ilvl w:val="0"/>
                <w:numId w:val="5"/>
              </w:numPr>
              <w:rPr>
                <w:sz w:val="20"/>
              </w:rPr>
            </w:pPr>
            <w:r w:rsidRPr="00DA6EA8">
              <w:rPr>
                <w:sz w:val="20"/>
              </w:rPr>
              <w:t>Money Market Funds</w:t>
            </w:r>
          </w:p>
        </w:tc>
        <w:tc>
          <w:tcPr>
            <w:tcW w:w="3759" w:type="dxa"/>
          </w:tcPr>
          <w:p w14:paraId="03E5A3DE" w14:textId="2CCC7B59" w:rsidR="008531F6" w:rsidRPr="00DA6EA8" w:rsidRDefault="002714E3" w:rsidP="00DA6EA8">
            <w:pPr>
              <w:rPr>
                <w:sz w:val="20"/>
              </w:rPr>
            </w:pPr>
            <w:r w:rsidRPr="00DA6EA8">
              <w:rPr>
                <w:sz w:val="20"/>
              </w:rPr>
              <w:t>Includes money market exchange-traded funds (ETFs) and money market closed-end funds</w:t>
            </w:r>
            <w:r w:rsidRPr="00F6308E">
              <w:rPr>
                <w:rStyle w:val="acpxkynzsg"/>
                <w:sz w:val="20"/>
                <w:szCs w:val="20"/>
              </w:rPr>
              <w:t xml:space="preserve"> </w:t>
            </w:r>
            <w:r>
              <w:rPr>
                <w:rStyle w:val="acpxkynzsg"/>
                <w:sz w:val="20"/>
                <w:szCs w:val="20"/>
              </w:rPr>
              <w:t>c</w:t>
            </w:r>
            <w:r w:rsidRPr="00F6308E">
              <w:rPr>
                <w:rStyle w:val="acpxkynzsg"/>
                <w:sz w:val="20"/>
                <w:szCs w:val="20"/>
              </w:rPr>
              <w:t>omprised of short-term, or less-than-one-year-term-remaining securities</w:t>
            </w:r>
          </w:p>
        </w:tc>
        <w:tc>
          <w:tcPr>
            <w:tcW w:w="2435" w:type="dxa"/>
            <w:vAlign w:val="center"/>
          </w:tcPr>
          <w:p w14:paraId="1BCC1DBE" w14:textId="77777777" w:rsidR="008531F6" w:rsidRPr="00DA6EA8" w:rsidRDefault="00CA5CDE" w:rsidP="00DA6EA8">
            <w:pPr>
              <w:jc w:val="center"/>
              <w:rPr>
                <w:sz w:val="20"/>
              </w:rPr>
            </w:pPr>
            <w:r w:rsidRPr="00DA6EA8">
              <w:rPr>
                <w:sz w:val="20"/>
              </w:rPr>
              <w:t>NO</w:t>
            </w:r>
          </w:p>
        </w:tc>
        <w:tc>
          <w:tcPr>
            <w:tcW w:w="2896" w:type="dxa"/>
            <w:vAlign w:val="center"/>
          </w:tcPr>
          <w:p w14:paraId="009DCE4E" w14:textId="77777777" w:rsidR="008531F6" w:rsidRPr="00DA6EA8" w:rsidRDefault="008531F6" w:rsidP="00DA6EA8">
            <w:pPr>
              <w:rPr>
                <w:sz w:val="20"/>
              </w:rPr>
            </w:pPr>
            <w:r w:rsidRPr="00DA6EA8">
              <w:rPr>
                <w:sz w:val="20"/>
              </w:rPr>
              <w:t>Already T+1 settlement</w:t>
            </w:r>
          </w:p>
        </w:tc>
      </w:tr>
      <w:tr w:rsidR="00237D22" w:rsidRPr="001A67CD" w14:paraId="46A503C4" w14:textId="77777777" w:rsidTr="0056173B">
        <w:tc>
          <w:tcPr>
            <w:tcW w:w="1981" w:type="dxa"/>
            <w:vMerge w:val="restart"/>
          </w:tcPr>
          <w:p w14:paraId="4032782F" w14:textId="77777777" w:rsidR="008531F6" w:rsidRPr="00DA6EA8" w:rsidRDefault="008531F6">
            <w:pPr>
              <w:pStyle w:val="ListParagraph"/>
              <w:numPr>
                <w:ilvl w:val="0"/>
                <w:numId w:val="5"/>
              </w:numPr>
              <w:rPr>
                <w:sz w:val="20"/>
              </w:rPr>
            </w:pPr>
            <w:r w:rsidRPr="00DA6EA8">
              <w:rPr>
                <w:sz w:val="20"/>
              </w:rPr>
              <w:t>Short-Term Notes</w:t>
            </w:r>
            <w:r w:rsidRPr="00896877">
              <w:rPr>
                <w:sz w:val="20"/>
                <w:szCs w:val="20"/>
              </w:rPr>
              <w:t xml:space="preserve"> </w:t>
            </w:r>
          </w:p>
        </w:tc>
        <w:tc>
          <w:tcPr>
            <w:tcW w:w="3759" w:type="dxa"/>
          </w:tcPr>
          <w:p w14:paraId="6B3985AD" w14:textId="4C93A448" w:rsidR="008531F6" w:rsidRPr="00DA6EA8" w:rsidRDefault="008531F6" w:rsidP="000D1C0D">
            <w:pPr>
              <w:rPr>
                <w:sz w:val="20"/>
              </w:rPr>
            </w:pPr>
            <w:r w:rsidRPr="00DA6EA8">
              <w:rPr>
                <w:sz w:val="20"/>
              </w:rPr>
              <w:t>Includes all term notes, bonds or paper where term to maturity from issue date is &lt;</w:t>
            </w:r>
            <w:r w:rsidR="00BA1BC6">
              <w:rPr>
                <w:sz w:val="20"/>
                <w:szCs w:val="20"/>
              </w:rPr>
              <w:t> </w:t>
            </w:r>
            <w:r w:rsidRPr="00DA6EA8">
              <w:rPr>
                <w:sz w:val="20"/>
              </w:rPr>
              <w:t>1 year</w:t>
            </w:r>
            <w:r w:rsidR="00BA1BC6">
              <w:rPr>
                <w:sz w:val="20"/>
                <w:szCs w:val="20"/>
              </w:rPr>
              <w:t>;</w:t>
            </w:r>
            <w:r>
              <w:rPr>
                <w:sz w:val="20"/>
                <w:szCs w:val="20"/>
              </w:rPr>
              <w:t xml:space="preserve"> </w:t>
            </w:r>
            <w:r w:rsidR="00BA1BC6">
              <w:rPr>
                <w:sz w:val="20"/>
                <w:szCs w:val="20"/>
              </w:rPr>
              <w:t>t</w:t>
            </w:r>
            <w:r w:rsidRPr="001A67CD">
              <w:rPr>
                <w:sz w:val="20"/>
                <w:szCs w:val="20"/>
              </w:rPr>
              <w:t>his</w:t>
            </w:r>
            <w:r w:rsidRPr="00DA6EA8">
              <w:rPr>
                <w:sz w:val="20"/>
              </w:rPr>
              <w:t xml:space="preserve"> includes</w:t>
            </w:r>
            <w:r w:rsidR="00BA1BC6">
              <w:rPr>
                <w:sz w:val="20"/>
                <w:szCs w:val="20"/>
              </w:rPr>
              <w:t>,</w:t>
            </w:r>
            <w:r w:rsidRPr="00DA6EA8">
              <w:rPr>
                <w:sz w:val="20"/>
              </w:rPr>
              <w:t xml:space="preserve"> but is not limited to:</w:t>
            </w:r>
            <w:r w:rsidRPr="001A67CD">
              <w:rPr>
                <w:sz w:val="20"/>
                <w:szCs w:val="20"/>
              </w:rPr>
              <w:t xml:space="preserve"> </w:t>
            </w:r>
          </w:p>
        </w:tc>
        <w:tc>
          <w:tcPr>
            <w:tcW w:w="2435" w:type="dxa"/>
            <w:vAlign w:val="center"/>
          </w:tcPr>
          <w:p w14:paraId="18CA3F8D" w14:textId="1F620883" w:rsidR="008531F6" w:rsidRPr="00DA6EA8" w:rsidRDefault="00CA5CDE" w:rsidP="000D1C0D">
            <w:pPr>
              <w:jc w:val="center"/>
              <w:rPr>
                <w:sz w:val="20"/>
              </w:rPr>
            </w:pPr>
            <w:r w:rsidRPr="00DA6EA8">
              <w:rPr>
                <w:sz w:val="20"/>
              </w:rPr>
              <w:t>NO</w:t>
            </w:r>
          </w:p>
        </w:tc>
        <w:tc>
          <w:tcPr>
            <w:tcW w:w="2896" w:type="dxa"/>
            <w:vAlign w:val="center"/>
          </w:tcPr>
          <w:p w14:paraId="21F4C7E3" w14:textId="77777777" w:rsidR="008531F6" w:rsidRPr="00DA6EA8" w:rsidRDefault="008531F6" w:rsidP="000D1C0D">
            <w:pPr>
              <w:rPr>
                <w:sz w:val="20"/>
              </w:rPr>
            </w:pPr>
            <w:r w:rsidRPr="00DA6EA8">
              <w:rPr>
                <w:sz w:val="20"/>
              </w:rPr>
              <w:t>No change</w:t>
            </w:r>
          </w:p>
        </w:tc>
      </w:tr>
      <w:tr w:rsidR="00A95C9E" w:rsidRPr="001A67CD" w14:paraId="3F7B8A3D" w14:textId="77777777" w:rsidTr="0056173B">
        <w:tc>
          <w:tcPr>
            <w:tcW w:w="1981" w:type="dxa"/>
            <w:vMerge/>
          </w:tcPr>
          <w:p w14:paraId="438E47CD" w14:textId="77777777" w:rsidR="00A95C9E" w:rsidRPr="00DA6EA8" w:rsidRDefault="00A95C9E">
            <w:pPr>
              <w:pStyle w:val="ListParagraph"/>
              <w:numPr>
                <w:ilvl w:val="0"/>
                <w:numId w:val="5"/>
              </w:numPr>
              <w:rPr>
                <w:sz w:val="20"/>
              </w:rPr>
            </w:pPr>
          </w:p>
        </w:tc>
        <w:tc>
          <w:tcPr>
            <w:tcW w:w="3759" w:type="dxa"/>
          </w:tcPr>
          <w:p w14:paraId="446555E5" w14:textId="0C876C6B" w:rsidR="00A95C9E" w:rsidRPr="00DA6EA8" w:rsidRDefault="00A95C9E">
            <w:pPr>
              <w:pStyle w:val="ListParagraph"/>
              <w:numPr>
                <w:ilvl w:val="0"/>
                <w:numId w:val="7"/>
              </w:numPr>
              <w:ind w:left="418"/>
              <w:rPr>
                <w:sz w:val="20"/>
              </w:rPr>
            </w:pPr>
            <w:r w:rsidRPr="00DA6EA8">
              <w:rPr>
                <w:sz w:val="20"/>
              </w:rPr>
              <w:t>Asset</w:t>
            </w:r>
            <w:r w:rsidR="00BA1BC6" w:rsidRPr="00DA6EA8">
              <w:rPr>
                <w:sz w:val="20"/>
              </w:rPr>
              <w:t>-</w:t>
            </w:r>
            <w:r w:rsidR="00BA1BC6" w:rsidRPr="00BA1BC6">
              <w:rPr>
                <w:sz w:val="20"/>
                <w:szCs w:val="20"/>
              </w:rPr>
              <w:t>backed commercial paper</w:t>
            </w:r>
            <w:r w:rsidR="00BA1BC6" w:rsidRPr="00DA6EA8">
              <w:rPr>
                <w:sz w:val="20"/>
              </w:rPr>
              <w:t xml:space="preserve"> </w:t>
            </w:r>
            <w:r w:rsidRPr="00DA6EA8">
              <w:rPr>
                <w:sz w:val="20"/>
              </w:rPr>
              <w:t>(ABCP)</w:t>
            </w:r>
          </w:p>
        </w:tc>
        <w:tc>
          <w:tcPr>
            <w:tcW w:w="2435" w:type="dxa"/>
          </w:tcPr>
          <w:p w14:paraId="7E9D0489" w14:textId="77777777" w:rsidR="00A95C9E" w:rsidRPr="00DA6EA8" w:rsidRDefault="00CA5CDE" w:rsidP="000D1C0D">
            <w:pPr>
              <w:jc w:val="center"/>
              <w:rPr>
                <w:sz w:val="20"/>
              </w:rPr>
            </w:pPr>
            <w:r w:rsidRPr="00DA6EA8">
              <w:rPr>
                <w:sz w:val="20"/>
              </w:rPr>
              <w:t>NO</w:t>
            </w:r>
          </w:p>
        </w:tc>
        <w:tc>
          <w:tcPr>
            <w:tcW w:w="2896" w:type="dxa"/>
          </w:tcPr>
          <w:p w14:paraId="68C3ED82" w14:textId="77777777" w:rsidR="00A95C9E" w:rsidRPr="00DA6EA8" w:rsidRDefault="00A95C9E" w:rsidP="000D1C0D">
            <w:pPr>
              <w:rPr>
                <w:sz w:val="20"/>
              </w:rPr>
            </w:pPr>
            <w:r w:rsidRPr="00DA6EA8">
              <w:rPr>
                <w:sz w:val="20"/>
              </w:rPr>
              <w:t>No change</w:t>
            </w:r>
          </w:p>
        </w:tc>
      </w:tr>
      <w:tr w:rsidR="00A95C9E" w:rsidRPr="001A67CD" w14:paraId="3FED67C7" w14:textId="77777777" w:rsidTr="0056173B">
        <w:tc>
          <w:tcPr>
            <w:tcW w:w="1981" w:type="dxa"/>
            <w:vMerge/>
          </w:tcPr>
          <w:p w14:paraId="0173233A" w14:textId="77777777" w:rsidR="00A95C9E" w:rsidRPr="00DA6EA8" w:rsidRDefault="00A95C9E">
            <w:pPr>
              <w:pStyle w:val="ListParagraph"/>
              <w:numPr>
                <w:ilvl w:val="0"/>
                <w:numId w:val="5"/>
              </w:numPr>
              <w:rPr>
                <w:sz w:val="20"/>
              </w:rPr>
            </w:pPr>
          </w:p>
        </w:tc>
        <w:tc>
          <w:tcPr>
            <w:tcW w:w="3759" w:type="dxa"/>
          </w:tcPr>
          <w:p w14:paraId="391B0C1D" w14:textId="6800E8E9" w:rsidR="00A95C9E" w:rsidRPr="00DA6EA8" w:rsidRDefault="00A95C9E">
            <w:pPr>
              <w:pStyle w:val="ListParagraph"/>
              <w:numPr>
                <w:ilvl w:val="0"/>
                <w:numId w:val="7"/>
              </w:numPr>
              <w:ind w:left="418"/>
              <w:rPr>
                <w:sz w:val="20"/>
              </w:rPr>
            </w:pPr>
            <w:r w:rsidRPr="00DA6EA8">
              <w:rPr>
                <w:sz w:val="20"/>
              </w:rPr>
              <w:t xml:space="preserve">Bankers' </w:t>
            </w:r>
            <w:r w:rsidR="00BA1BC6">
              <w:rPr>
                <w:sz w:val="20"/>
                <w:szCs w:val="20"/>
              </w:rPr>
              <w:t>a</w:t>
            </w:r>
            <w:r w:rsidRPr="00BA1BC6">
              <w:rPr>
                <w:sz w:val="20"/>
                <w:szCs w:val="20"/>
              </w:rPr>
              <w:t>cceptances</w:t>
            </w:r>
          </w:p>
        </w:tc>
        <w:tc>
          <w:tcPr>
            <w:tcW w:w="2435" w:type="dxa"/>
          </w:tcPr>
          <w:p w14:paraId="5DAC762C" w14:textId="77777777" w:rsidR="00A95C9E" w:rsidRPr="00DA6EA8" w:rsidRDefault="00CA5CDE" w:rsidP="000D1C0D">
            <w:pPr>
              <w:jc w:val="center"/>
              <w:rPr>
                <w:sz w:val="20"/>
              </w:rPr>
            </w:pPr>
            <w:r w:rsidRPr="00DA6EA8">
              <w:rPr>
                <w:sz w:val="20"/>
              </w:rPr>
              <w:t>NO</w:t>
            </w:r>
          </w:p>
        </w:tc>
        <w:tc>
          <w:tcPr>
            <w:tcW w:w="2896" w:type="dxa"/>
          </w:tcPr>
          <w:p w14:paraId="3C3E5FC9" w14:textId="77777777" w:rsidR="00A95C9E" w:rsidRPr="00DA6EA8" w:rsidRDefault="00A95C9E" w:rsidP="000D1C0D">
            <w:pPr>
              <w:rPr>
                <w:sz w:val="20"/>
              </w:rPr>
            </w:pPr>
            <w:r w:rsidRPr="00DA6EA8">
              <w:rPr>
                <w:sz w:val="20"/>
              </w:rPr>
              <w:t>No change</w:t>
            </w:r>
          </w:p>
        </w:tc>
      </w:tr>
      <w:tr w:rsidR="00A95C9E" w:rsidRPr="001A67CD" w14:paraId="33A724C0" w14:textId="77777777" w:rsidTr="0056173B">
        <w:tc>
          <w:tcPr>
            <w:tcW w:w="1981" w:type="dxa"/>
            <w:vMerge/>
          </w:tcPr>
          <w:p w14:paraId="11B31B42" w14:textId="77777777" w:rsidR="00A95C9E" w:rsidRPr="00DA6EA8" w:rsidRDefault="00A95C9E">
            <w:pPr>
              <w:pStyle w:val="ListParagraph"/>
              <w:numPr>
                <w:ilvl w:val="0"/>
                <w:numId w:val="5"/>
              </w:numPr>
              <w:rPr>
                <w:sz w:val="20"/>
              </w:rPr>
            </w:pPr>
          </w:p>
        </w:tc>
        <w:tc>
          <w:tcPr>
            <w:tcW w:w="3759" w:type="dxa"/>
          </w:tcPr>
          <w:p w14:paraId="1F295DEA" w14:textId="335404A6" w:rsidR="00A95C9E" w:rsidRPr="00DA6EA8" w:rsidRDefault="00A95C9E">
            <w:pPr>
              <w:pStyle w:val="ListParagraph"/>
              <w:numPr>
                <w:ilvl w:val="0"/>
                <w:numId w:val="7"/>
              </w:numPr>
              <w:ind w:left="418"/>
              <w:rPr>
                <w:sz w:val="20"/>
              </w:rPr>
            </w:pPr>
            <w:r w:rsidRPr="00DA6EA8">
              <w:rPr>
                <w:sz w:val="20"/>
              </w:rPr>
              <w:t xml:space="preserve">Certificates of </w:t>
            </w:r>
            <w:r w:rsidR="00BA2FC2">
              <w:rPr>
                <w:sz w:val="20"/>
                <w:szCs w:val="20"/>
              </w:rPr>
              <w:t>d</w:t>
            </w:r>
            <w:r w:rsidRPr="00BA1BC6">
              <w:rPr>
                <w:sz w:val="20"/>
                <w:szCs w:val="20"/>
              </w:rPr>
              <w:t>eposit</w:t>
            </w:r>
            <w:r w:rsidRPr="00DA6EA8">
              <w:rPr>
                <w:sz w:val="20"/>
              </w:rPr>
              <w:t xml:space="preserve"> (CDs)</w:t>
            </w:r>
          </w:p>
        </w:tc>
        <w:tc>
          <w:tcPr>
            <w:tcW w:w="2435" w:type="dxa"/>
          </w:tcPr>
          <w:p w14:paraId="1104908F" w14:textId="77777777" w:rsidR="00A95C9E" w:rsidRPr="00DA6EA8" w:rsidRDefault="00CA5CDE" w:rsidP="000D1C0D">
            <w:pPr>
              <w:jc w:val="center"/>
              <w:rPr>
                <w:sz w:val="20"/>
              </w:rPr>
            </w:pPr>
            <w:r w:rsidRPr="00DA6EA8">
              <w:rPr>
                <w:sz w:val="20"/>
              </w:rPr>
              <w:t>NO</w:t>
            </w:r>
          </w:p>
        </w:tc>
        <w:tc>
          <w:tcPr>
            <w:tcW w:w="2896" w:type="dxa"/>
          </w:tcPr>
          <w:p w14:paraId="772A7A6A" w14:textId="77777777" w:rsidR="00A95C9E" w:rsidRPr="00DA6EA8" w:rsidRDefault="00A95C9E" w:rsidP="000D1C0D">
            <w:pPr>
              <w:rPr>
                <w:sz w:val="20"/>
              </w:rPr>
            </w:pPr>
            <w:r w:rsidRPr="00DA6EA8">
              <w:rPr>
                <w:sz w:val="20"/>
              </w:rPr>
              <w:t>No change</w:t>
            </w:r>
          </w:p>
        </w:tc>
      </w:tr>
      <w:tr w:rsidR="00A95C9E" w:rsidRPr="001A67CD" w14:paraId="53C04D08" w14:textId="77777777" w:rsidTr="0056173B">
        <w:tc>
          <w:tcPr>
            <w:tcW w:w="1981" w:type="dxa"/>
            <w:vMerge/>
          </w:tcPr>
          <w:p w14:paraId="2E39B77D" w14:textId="77777777" w:rsidR="00A95C9E" w:rsidRPr="00DA6EA8" w:rsidRDefault="00A95C9E">
            <w:pPr>
              <w:pStyle w:val="ListParagraph"/>
              <w:numPr>
                <w:ilvl w:val="0"/>
                <w:numId w:val="5"/>
              </w:numPr>
              <w:rPr>
                <w:sz w:val="20"/>
              </w:rPr>
            </w:pPr>
          </w:p>
        </w:tc>
        <w:tc>
          <w:tcPr>
            <w:tcW w:w="3759" w:type="dxa"/>
          </w:tcPr>
          <w:p w14:paraId="7740F2CD" w14:textId="3ED24A90" w:rsidR="00A95C9E" w:rsidRPr="00DA6EA8" w:rsidRDefault="00A95C9E">
            <w:pPr>
              <w:pStyle w:val="ListParagraph"/>
              <w:numPr>
                <w:ilvl w:val="0"/>
                <w:numId w:val="7"/>
              </w:numPr>
              <w:ind w:left="418"/>
              <w:rPr>
                <w:sz w:val="20"/>
              </w:rPr>
            </w:pPr>
            <w:r w:rsidRPr="00DA6EA8">
              <w:rPr>
                <w:sz w:val="20"/>
              </w:rPr>
              <w:t xml:space="preserve">Commercial </w:t>
            </w:r>
            <w:r w:rsidR="00BA1BC6">
              <w:rPr>
                <w:sz w:val="20"/>
                <w:szCs w:val="20"/>
              </w:rPr>
              <w:t>p</w:t>
            </w:r>
            <w:r w:rsidRPr="00BA1BC6">
              <w:rPr>
                <w:sz w:val="20"/>
                <w:szCs w:val="20"/>
              </w:rPr>
              <w:t>aper</w:t>
            </w:r>
            <w:r w:rsidRPr="00DA6EA8">
              <w:rPr>
                <w:sz w:val="20"/>
              </w:rPr>
              <w:t xml:space="preserve"> (CP)</w:t>
            </w:r>
          </w:p>
        </w:tc>
        <w:tc>
          <w:tcPr>
            <w:tcW w:w="2435" w:type="dxa"/>
          </w:tcPr>
          <w:p w14:paraId="11AF8BC0" w14:textId="77777777" w:rsidR="00A95C9E" w:rsidRPr="00DA6EA8" w:rsidRDefault="00CA5CDE" w:rsidP="000D1C0D">
            <w:pPr>
              <w:jc w:val="center"/>
              <w:rPr>
                <w:sz w:val="20"/>
              </w:rPr>
            </w:pPr>
            <w:r w:rsidRPr="00DA6EA8">
              <w:rPr>
                <w:sz w:val="20"/>
              </w:rPr>
              <w:t>NO</w:t>
            </w:r>
          </w:p>
        </w:tc>
        <w:tc>
          <w:tcPr>
            <w:tcW w:w="2896" w:type="dxa"/>
          </w:tcPr>
          <w:p w14:paraId="1691002C" w14:textId="77777777" w:rsidR="00A95C9E" w:rsidRPr="00DA6EA8" w:rsidRDefault="00A95C9E" w:rsidP="000D1C0D">
            <w:pPr>
              <w:rPr>
                <w:sz w:val="20"/>
              </w:rPr>
            </w:pPr>
            <w:r w:rsidRPr="00DA6EA8">
              <w:rPr>
                <w:sz w:val="20"/>
              </w:rPr>
              <w:t>No change</w:t>
            </w:r>
          </w:p>
        </w:tc>
      </w:tr>
      <w:tr w:rsidR="00A95C9E" w:rsidRPr="001A67CD" w14:paraId="4E63F648" w14:textId="77777777" w:rsidTr="0056173B">
        <w:tc>
          <w:tcPr>
            <w:tcW w:w="1981" w:type="dxa"/>
            <w:vMerge/>
          </w:tcPr>
          <w:p w14:paraId="13581CD4" w14:textId="77777777" w:rsidR="00A95C9E" w:rsidRPr="00DA6EA8" w:rsidRDefault="00A95C9E">
            <w:pPr>
              <w:pStyle w:val="ListParagraph"/>
              <w:numPr>
                <w:ilvl w:val="0"/>
                <w:numId w:val="5"/>
              </w:numPr>
              <w:rPr>
                <w:sz w:val="20"/>
              </w:rPr>
            </w:pPr>
          </w:p>
        </w:tc>
        <w:tc>
          <w:tcPr>
            <w:tcW w:w="3759" w:type="dxa"/>
          </w:tcPr>
          <w:p w14:paraId="36569A3A" w14:textId="3B23DFAB" w:rsidR="00A95C9E" w:rsidRPr="00DA6EA8" w:rsidRDefault="00A95C9E">
            <w:pPr>
              <w:pStyle w:val="ListParagraph"/>
              <w:numPr>
                <w:ilvl w:val="0"/>
                <w:numId w:val="7"/>
              </w:numPr>
              <w:ind w:left="418"/>
              <w:rPr>
                <w:sz w:val="20"/>
              </w:rPr>
            </w:pPr>
            <w:r w:rsidRPr="00DA6EA8">
              <w:rPr>
                <w:sz w:val="20"/>
              </w:rPr>
              <w:t xml:space="preserve">Treasury </w:t>
            </w:r>
            <w:r w:rsidR="00BA1BC6">
              <w:rPr>
                <w:sz w:val="20"/>
                <w:szCs w:val="20"/>
              </w:rPr>
              <w:t>b</w:t>
            </w:r>
            <w:r w:rsidRPr="00BA1BC6">
              <w:rPr>
                <w:sz w:val="20"/>
                <w:szCs w:val="20"/>
              </w:rPr>
              <w:t>ills</w:t>
            </w:r>
            <w:r w:rsidRPr="00DA6EA8">
              <w:rPr>
                <w:sz w:val="20"/>
              </w:rPr>
              <w:t xml:space="preserve"> (T-bills)</w:t>
            </w:r>
          </w:p>
        </w:tc>
        <w:tc>
          <w:tcPr>
            <w:tcW w:w="2435" w:type="dxa"/>
          </w:tcPr>
          <w:p w14:paraId="3367792A" w14:textId="77777777" w:rsidR="00A95C9E" w:rsidRPr="00DA6EA8" w:rsidRDefault="00CA5CDE" w:rsidP="000D1C0D">
            <w:pPr>
              <w:jc w:val="center"/>
              <w:rPr>
                <w:sz w:val="20"/>
              </w:rPr>
            </w:pPr>
            <w:r w:rsidRPr="00DA6EA8">
              <w:rPr>
                <w:sz w:val="20"/>
              </w:rPr>
              <w:t>NO</w:t>
            </w:r>
          </w:p>
        </w:tc>
        <w:tc>
          <w:tcPr>
            <w:tcW w:w="2896" w:type="dxa"/>
          </w:tcPr>
          <w:p w14:paraId="23A00EC9" w14:textId="77777777" w:rsidR="00A95C9E" w:rsidRPr="00DA6EA8" w:rsidRDefault="00A95C9E" w:rsidP="000D1C0D">
            <w:pPr>
              <w:rPr>
                <w:sz w:val="20"/>
              </w:rPr>
            </w:pPr>
            <w:r w:rsidRPr="00DA6EA8">
              <w:rPr>
                <w:sz w:val="20"/>
              </w:rPr>
              <w:t>No change</w:t>
            </w:r>
          </w:p>
        </w:tc>
      </w:tr>
      <w:tr w:rsidR="00237D22" w:rsidRPr="001A67CD" w14:paraId="0BAFF742" w14:textId="77777777" w:rsidTr="0056173B">
        <w:tc>
          <w:tcPr>
            <w:tcW w:w="1981" w:type="dxa"/>
            <w:vMerge/>
          </w:tcPr>
          <w:p w14:paraId="6BEC0A03" w14:textId="77777777" w:rsidR="00A95C9E" w:rsidRPr="00DA6EA8" w:rsidRDefault="00A95C9E">
            <w:pPr>
              <w:pStyle w:val="ListParagraph"/>
              <w:numPr>
                <w:ilvl w:val="0"/>
                <w:numId w:val="5"/>
              </w:numPr>
              <w:rPr>
                <w:sz w:val="20"/>
              </w:rPr>
            </w:pPr>
          </w:p>
        </w:tc>
        <w:tc>
          <w:tcPr>
            <w:tcW w:w="3759" w:type="dxa"/>
          </w:tcPr>
          <w:p w14:paraId="5948F778" w14:textId="6ED9761B" w:rsidR="00A95C9E" w:rsidRPr="00DA6EA8" w:rsidRDefault="00A95C9E">
            <w:pPr>
              <w:pStyle w:val="ListParagraph"/>
              <w:numPr>
                <w:ilvl w:val="0"/>
                <w:numId w:val="7"/>
              </w:numPr>
              <w:ind w:left="418"/>
              <w:rPr>
                <w:sz w:val="20"/>
              </w:rPr>
            </w:pPr>
            <w:r w:rsidRPr="00DA6EA8">
              <w:rPr>
                <w:sz w:val="20"/>
              </w:rPr>
              <w:t xml:space="preserve">Savings </w:t>
            </w:r>
            <w:r w:rsidR="00BA1BC6">
              <w:rPr>
                <w:sz w:val="20"/>
                <w:szCs w:val="20"/>
              </w:rPr>
              <w:t>b</w:t>
            </w:r>
            <w:r w:rsidRPr="00BA1BC6">
              <w:rPr>
                <w:sz w:val="20"/>
                <w:szCs w:val="20"/>
              </w:rPr>
              <w:t>onds</w:t>
            </w:r>
          </w:p>
        </w:tc>
        <w:tc>
          <w:tcPr>
            <w:tcW w:w="2435" w:type="dxa"/>
          </w:tcPr>
          <w:p w14:paraId="5F4AA377" w14:textId="77777777" w:rsidR="00A95C9E" w:rsidRPr="00DA6EA8" w:rsidRDefault="00CA5CDE" w:rsidP="000D1C0D">
            <w:pPr>
              <w:jc w:val="center"/>
              <w:rPr>
                <w:sz w:val="20"/>
              </w:rPr>
            </w:pPr>
            <w:r w:rsidRPr="00DA6EA8">
              <w:rPr>
                <w:sz w:val="20"/>
              </w:rPr>
              <w:t>NO</w:t>
            </w:r>
          </w:p>
        </w:tc>
        <w:tc>
          <w:tcPr>
            <w:tcW w:w="2896" w:type="dxa"/>
          </w:tcPr>
          <w:p w14:paraId="4D6DE326" w14:textId="77777777" w:rsidR="00A95C9E" w:rsidRPr="00DA6EA8" w:rsidRDefault="00A95C9E" w:rsidP="000D1C0D">
            <w:pPr>
              <w:rPr>
                <w:sz w:val="20"/>
              </w:rPr>
            </w:pPr>
            <w:r w:rsidRPr="00DA6EA8">
              <w:rPr>
                <w:sz w:val="20"/>
              </w:rPr>
              <w:t>No change</w:t>
            </w:r>
          </w:p>
        </w:tc>
      </w:tr>
      <w:tr w:rsidR="00A95C9E" w:rsidRPr="001A67CD" w14:paraId="13F443E0" w14:textId="77777777" w:rsidTr="0056173B">
        <w:tc>
          <w:tcPr>
            <w:tcW w:w="1981" w:type="dxa"/>
          </w:tcPr>
          <w:p w14:paraId="78AD5945" w14:textId="77777777" w:rsidR="00A95C9E" w:rsidRPr="00DA6EA8" w:rsidRDefault="007D327D">
            <w:pPr>
              <w:pStyle w:val="ListParagraph"/>
              <w:numPr>
                <w:ilvl w:val="0"/>
                <w:numId w:val="5"/>
              </w:numPr>
              <w:rPr>
                <w:sz w:val="20"/>
              </w:rPr>
            </w:pPr>
            <w:r w:rsidRPr="00DA6EA8">
              <w:rPr>
                <w:sz w:val="20"/>
              </w:rPr>
              <w:t>Other Cash and Cash-</w:t>
            </w:r>
            <w:r w:rsidR="00A95C9E" w:rsidRPr="00DA6EA8">
              <w:rPr>
                <w:sz w:val="20"/>
              </w:rPr>
              <w:t>Equivalent Products</w:t>
            </w:r>
          </w:p>
        </w:tc>
        <w:tc>
          <w:tcPr>
            <w:tcW w:w="3759" w:type="dxa"/>
          </w:tcPr>
          <w:p w14:paraId="2D46920C" w14:textId="465D6977" w:rsidR="00A95C9E" w:rsidRPr="008A38E7" w:rsidRDefault="00BA1BC6" w:rsidP="000D1C0D">
            <w:pPr>
              <w:rPr>
                <w:i/>
                <w:sz w:val="20"/>
              </w:rPr>
            </w:pPr>
            <w:r>
              <w:rPr>
                <w:i/>
                <w:sz w:val="20"/>
                <w:szCs w:val="20"/>
              </w:rPr>
              <w:t>Placeholder f</w:t>
            </w:r>
            <w:r w:rsidR="00DB5CA8" w:rsidRPr="00716159">
              <w:rPr>
                <w:i/>
                <w:sz w:val="20"/>
                <w:szCs w:val="20"/>
              </w:rPr>
              <w:t>or</w:t>
            </w:r>
            <w:r w:rsidR="00DB5CA8" w:rsidRPr="008A38E7">
              <w:rPr>
                <w:i/>
                <w:sz w:val="20"/>
              </w:rPr>
              <w:t xml:space="preserve"> </w:t>
            </w:r>
            <w:r w:rsidR="00A95C9E" w:rsidRPr="008A38E7">
              <w:rPr>
                <w:i/>
                <w:sz w:val="20"/>
              </w:rPr>
              <w:t>any new or unidentified products</w:t>
            </w:r>
          </w:p>
        </w:tc>
        <w:tc>
          <w:tcPr>
            <w:tcW w:w="2435" w:type="dxa"/>
          </w:tcPr>
          <w:p w14:paraId="075D9215" w14:textId="77777777" w:rsidR="00A95C9E" w:rsidRPr="008A38E7" w:rsidRDefault="00A95C9E" w:rsidP="008A38E7">
            <w:pPr>
              <w:jc w:val="center"/>
              <w:rPr>
                <w:sz w:val="20"/>
              </w:rPr>
            </w:pPr>
          </w:p>
        </w:tc>
        <w:tc>
          <w:tcPr>
            <w:tcW w:w="2896" w:type="dxa"/>
          </w:tcPr>
          <w:p w14:paraId="2BB9DA31" w14:textId="77777777" w:rsidR="00A95C9E" w:rsidRPr="008A38E7" w:rsidRDefault="00A95C9E" w:rsidP="008A38E7">
            <w:pPr>
              <w:rPr>
                <w:sz w:val="20"/>
              </w:rPr>
            </w:pPr>
          </w:p>
        </w:tc>
      </w:tr>
      <w:tr w:rsidR="00A95C9E" w:rsidRPr="001A67CD" w14:paraId="55037AFF" w14:textId="77777777" w:rsidTr="0056173B">
        <w:tc>
          <w:tcPr>
            <w:tcW w:w="11071" w:type="dxa"/>
            <w:gridSpan w:val="4"/>
          </w:tcPr>
          <w:p w14:paraId="1CDC9316" w14:textId="77777777" w:rsidR="00A95C9E" w:rsidRPr="00DA6EA8" w:rsidRDefault="00A95C9E" w:rsidP="008A38E7">
            <w:pPr>
              <w:jc w:val="center"/>
              <w:rPr>
                <w:b/>
                <w:color w:val="FF0000"/>
                <w:sz w:val="24"/>
              </w:rPr>
            </w:pPr>
            <w:r w:rsidRPr="00DA6EA8">
              <w:rPr>
                <w:b/>
                <w:color w:val="FF0000"/>
                <w:sz w:val="24"/>
              </w:rPr>
              <w:t>Fixed Income</w:t>
            </w:r>
            <w:r>
              <w:rPr>
                <w:b/>
                <w:color w:val="FF0000"/>
                <w:sz w:val="24"/>
                <w:szCs w:val="24"/>
              </w:rPr>
              <w:t xml:space="preserve"> </w:t>
            </w:r>
          </w:p>
        </w:tc>
      </w:tr>
      <w:tr w:rsidR="00A95C9E" w:rsidRPr="001A67CD" w14:paraId="2D803A8C" w14:textId="77777777" w:rsidTr="0056173B">
        <w:tc>
          <w:tcPr>
            <w:tcW w:w="1981" w:type="dxa"/>
            <w:tcBorders>
              <w:bottom w:val="single" w:sz="6" w:space="0" w:color="auto"/>
            </w:tcBorders>
          </w:tcPr>
          <w:p w14:paraId="019277D6" w14:textId="1C2077F3" w:rsidR="00A95C9E" w:rsidRPr="00DA6EA8" w:rsidRDefault="00A95C9E">
            <w:pPr>
              <w:pStyle w:val="ListParagraph"/>
              <w:numPr>
                <w:ilvl w:val="0"/>
                <w:numId w:val="5"/>
              </w:numPr>
              <w:rPr>
                <w:sz w:val="20"/>
              </w:rPr>
            </w:pPr>
            <w:r w:rsidRPr="00DA6EA8">
              <w:rPr>
                <w:sz w:val="20"/>
              </w:rPr>
              <w:t>Corporate Bonds</w:t>
            </w:r>
            <w:r w:rsidR="00EB329F">
              <w:rPr>
                <w:sz w:val="20"/>
                <w:szCs w:val="20"/>
              </w:rPr>
              <w:t>/ Debentures</w:t>
            </w:r>
            <w:r w:rsidRPr="00896877">
              <w:rPr>
                <w:sz w:val="20"/>
                <w:szCs w:val="20"/>
              </w:rPr>
              <w:t xml:space="preserve"> </w:t>
            </w:r>
          </w:p>
        </w:tc>
        <w:tc>
          <w:tcPr>
            <w:tcW w:w="3759" w:type="dxa"/>
            <w:tcBorders>
              <w:bottom w:val="single" w:sz="6" w:space="0" w:color="auto"/>
            </w:tcBorders>
          </w:tcPr>
          <w:p w14:paraId="6B0BEF22" w14:textId="118F4B68" w:rsidR="00A95C9E" w:rsidRPr="00DA6EA8" w:rsidRDefault="00A95C9E" w:rsidP="008A38E7">
            <w:pPr>
              <w:rPr>
                <w:sz w:val="20"/>
              </w:rPr>
            </w:pPr>
            <w:r w:rsidRPr="00DA6EA8">
              <w:rPr>
                <w:sz w:val="20"/>
              </w:rPr>
              <w:t>Includes corporate bonds/debentures as well as high-yield bonds and capital trust securities where the term to maturity from issue date &gt;/= 1 year</w:t>
            </w:r>
          </w:p>
        </w:tc>
        <w:tc>
          <w:tcPr>
            <w:tcW w:w="2435" w:type="dxa"/>
            <w:tcBorders>
              <w:bottom w:val="single" w:sz="6" w:space="0" w:color="auto"/>
            </w:tcBorders>
            <w:vAlign w:val="center"/>
          </w:tcPr>
          <w:p w14:paraId="43E1D381" w14:textId="77777777" w:rsidR="00A95C9E" w:rsidRPr="00DA6EA8" w:rsidRDefault="00A95C9E" w:rsidP="008A38E7">
            <w:pPr>
              <w:jc w:val="center"/>
              <w:rPr>
                <w:b/>
                <w:sz w:val="20"/>
              </w:rPr>
            </w:pPr>
            <w:r w:rsidRPr="00DA6EA8">
              <w:rPr>
                <w:b/>
                <w:sz w:val="20"/>
              </w:rPr>
              <w:t>YES</w:t>
            </w:r>
          </w:p>
        </w:tc>
        <w:tc>
          <w:tcPr>
            <w:tcW w:w="2896" w:type="dxa"/>
            <w:tcBorders>
              <w:bottom w:val="single" w:sz="6" w:space="0" w:color="auto"/>
            </w:tcBorders>
          </w:tcPr>
          <w:p w14:paraId="497BCD4F" w14:textId="17F50114" w:rsidR="00A95C9E" w:rsidRPr="008A38E7" w:rsidRDefault="00A95C9E" w:rsidP="008A38E7">
            <w:pPr>
              <w:rPr>
                <w:sz w:val="20"/>
              </w:rPr>
            </w:pPr>
            <w:r w:rsidRPr="008A38E7">
              <w:rPr>
                <w:sz w:val="20"/>
              </w:rPr>
              <w:t>Any transaction that currently trades on a T+</w:t>
            </w:r>
            <w:r w:rsidR="00BA2FC2">
              <w:rPr>
                <w:sz w:val="20"/>
                <w:szCs w:val="20"/>
              </w:rPr>
              <w:t>2</w:t>
            </w:r>
            <w:r w:rsidR="00BA2FC2" w:rsidRPr="008A38E7">
              <w:rPr>
                <w:sz w:val="20"/>
              </w:rPr>
              <w:t xml:space="preserve"> </w:t>
            </w:r>
            <w:r w:rsidRPr="008A38E7">
              <w:rPr>
                <w:sz w:val="20"/>
              </w:rPr>
              <w:t>basis will transition to T+</w:t>
            </w:r>
            <w:r w:rsidR="00BA2FC2">
              <w:rPr>
                <w:sz w:val="20"/>
                <w:szCs w:val="20"/>
              </w:rPr>
              <w:t>1</w:t>
            </w:r>
            <w:r w:rsidRPr="008A38E7">
              <w:rPr>
                <w:sz w:val="20"/>
              </w:rPr>
              <w:t xml:space="preserve">. Current ‘special terms’ trades will </w:t>
            </w:r>
            <w:r w:rsidR="008B5576">
              <w:rPr>
                <w:sz w:val="20"/>
                <w:szCs w:val="20"/>
              </w:rPr>
              <w:t>stay</w:t>
            </w:r>
            <w:r w:rsidRPr="008A38E7">
              <w:rPr>
                <w:sz w:val="20"/>
              </w:rPr>
              <w:t xml:space="preserve"> unchanged.</w:t>
            </w:r>
          </w:p>
        </w:tc>
      </w:tr>
      <w:tr w:rsidR="00EB329F" w:rsidRPr="001A67CD" w14:paraId="431A2B52" w14:textId="77777777" w:rsidTr="0056173B">
        <w:tc>
          <w:tcPr>
            <w:tcW w:w="1981" w:type="dxa"/>
            <w:tcBorders>
              <w:bottom w:val="single" w:sz="6" w:space="0" w:color="auto"/>
            </w:tcBorders>
            <w:shd w:val="clear" w:color="auto" w:fill="FFFFFF" w:themeFill="background1"/>
          </w:tcPr>
          <w:p w14:paraId="5DE1A6B5" w14:textId="7C979FC0" w:rsidR="00EB329F" w:rsidRPr="00896877" w:rsidRDefault="000D1C0D">
            <w:pPr>
              <w:pStyle w:val="ListParagraph"/>
              <w:numPr>
                <w:ilvl w:val="0"/>
                <w:numId w:val="5"/>
              </w:numPr>
              <w:rPr>
                <w:sz w:val="20"/>
                <w:szCs w:val="20"/>
              </w:rPr>
            </w:pPr>
            <w:r w:rsidRPr="00194C9A">
              <w:rPr>
                <w:sz w:val="20"/>
                <w:szCs w:val="20"/>
              </w:rPr>
              <w:t>Exchange-</w:t>
            </w:r>
            <w:r w:rsidR="006E2961">
              <w:rPr>
                <w:sz w:val="20"/>
                <w:szCs w:val="20"/>
              </w:rPr>
              <w:t>T</w:t>
            </w:r>
            <w:r w:rsidRPr="00194C9A">
              <w:rPr>
                <w:sz w:val="20"/>
                <w:szCs w:val="20"/>
              </w:rPr>
              <w:t xml:space="preserve">raded </w:t>
            </w:r>
            <w:r w:rsidR="006E2961">
              <w:rPr>
                <w:sz w:val="20"/>
                <w:szCs w:val="20"/>
              </w:rPr>
              <w:t>D</w:t>
            </w:r>
            <w:r w:rsidRPr="00194C9A">
              <w:rPr>
                <w:sz w:val="20"/>
                <w:szCs w:val="20"/>
              </w:rPr>
              <w:t>ebentures</w:t>
            </w:r>
          </w:p>
        </w:tc>
        <w:tc>
          <w:tcPr>
            <w:tcW w:w="3759" w:type="dxa"/>
            <w:tcBorders>
              <w:bottom w:val="single" w:sz="6" w:space="0" w:color="auto"/>
            </w:tcBorders>
          </w:tcPr>
          <w:p w14:paraId="34C5511C" w14:textId="6C1E1DFB" w:rsidR="00EB329F" w:rsidRPr="001A67CD" w:rsidRDefault="00EB329F" w:rsidP="00EB329F">
            <w:pPr>
              <w:rPr>
                <w:sz w:val="20"/>
                <w:szCs w:val="20"/>
              </w:rPr>
            </w:pPr>
          </w:p>
        </w:tc>
        <w:tc>
          <w:tcPr>
            <w:tcW w:w="2435" w:type="dxa"/>
            <w:tcBorders>
              <w:bottom w:val="single" w:sz="6" w:space="0" w:color="auto"/>
            </w:tcBorders>
            <w:vAlign w:val="center"/>
          </w:tcPr>
          <w:p w14:paraId="10C57378" w14:textId="2B0CB667" w:rsidR="00EB329F" w:rsidRPr="00CA5CDE" w:rsidRDefault="00EB329F" w:rsidP="00EB329F">
            <w:pPr>
              <w:jc w:val="center"/>
              <w:rPr>
                <w:b/>
                <w:sz w:val="20"/>
                <w:szCs w:val="20"/>
              </w:rPr>
            </w:pPr>
            <w:r w:rsidRPr="00CA5CDE">
              <w:rPr>
                <w:b/>
                <w:sz w:val="20"/>
                <w:szCs w:val="20"/>
              </w:rPr>
              <w:t>YES</w:t>
            </w:r>
          </w:p>
        </w:tc>
        <w:tc>
          <w:tcPr>
            <w:tcW w:w="2896" w:type="dxa"/>
            <w:tcBorders>
              <w:bottom w:val="single" w:sz="6" w:space="0" w:color="auto"/>
            </w:tcBorders>
          </w:tcPr>
          <w:p w14:paraId="01EB8356" w14:textId="21BE68C2" w:rsidR="00EB329F" w:rsidRPr="00CE792C" w:rsidRDefault="00EB329F" w:rsidP="00EB329F">
            <w:pPr>
              <w:rPr>
                <w:sz w:val="20"/>
                <w:szCs w:val="20"/>
              </w:rPr>
            </w:pPr>
            <w:r w:rsidRPr="00CE792C">
              <w:rPr>
                <w:sz w:val="20"/>
                <w:szCs w:val="20"/>
              </w:rPr>
              <w:t>Any transaction that currently trades on a T+</w:t>
            </w:r>
            <w:r>
              <w:rPr>
                <w:sz w:val="20"/>
                <w:szCs w:val="20"/>
              </w:rPr>
              <w:t>2</w:t>
            </w:r>
            <w:r w:rsidRPr="00CE792C">
              <w:rPr>
                <w:sz w:val="20"/>
                <w:szCs w:val="20"/>
              </w:rPr>
              <w:t xml:space="preserve"> basis will transition to T+</w:t>
            </w:r>
            <w:r>
              <w:rPr>
                <w:sz w:val="20"/>
                <w:szCs w:val="20"/>
              </w:rPr>
              <w:t>1</w:t>
            </w:r>
            <w:r w:rsidRPr="00CE792C">
              <w:rPr>
                <w:sz w:val="20"/>
                <w:szCs w:val="20"/>
              </w:rPr>
              <w:t xml:space="preserve">. Current ‘special terms’ trades will </w:t>
            </w:r>
            <w:r>
              <w:rPr>
                <w:sz w:val="20"/>
                <w:szCs w:val="20"/>
              </w:rPr>
              <w:t>stay</w:t>
            </w:r>
            <w:r w:rsidRPr="00CE792C">
              <w:rPr>
                <w:sz w:val="20"/>
                <w:szCs w:val="20"/>
              </w:rPr>
              <w:t xml:space="preserve"> unchanged.</w:t>
            </w:r>
          </w:p>
        </w:tc>
      </w:tr>
      <w:tr w:rsidR="00402928" w:rsidRPr="001A67CD" w14:paraId="6F355986" w14:textId="77777777" w:rsidTr="0056173B">
        <w:tc>
          <w:tcPr>
            <w:tcW w:w="1981" w:type="dxa"/>
            <w:vMerge w:val="restart"/>
            <w:tcBorders>
              <w:top w:val="single" w:sz="6" w:space="0" w:color="auto"/>
            </w:tcBorders>
          </w:tcPr>
          <w:p w14:paraId="2B52E773" w14:textId="0D65498A" w:rsidR="00EB329F" w:rsidRPr="00896877" w:rsidRDefault="00EB329F">
            <w:pPr>
              <w:pStyle w:val="ListParagraph"/>
              <w:numPr>
                <w:ilvl w:val="0"/>
                <w:numId w:val="5"/>
              </w:numPr>
              <w:rPr>
                <w:sz w:val="20"/>
                <w:szCs w:val="20"/>
              </w:rPr>
            </w:pPr>
            <w:r w:rsidRPr="00DA6EA8">
              <w:rPr>
                <w:sz w:val="20"/>
              </w:rPr>
              <w:t>Government</w:t>
            </w:r>
            <w:r w:rsidRPr="00896877">
              <w:rPr>
                <w:sz w:val="20"/>
                <w:szCs w:val="20"/>
              </w:rPr>
              <w:t xml:space="preserve"> </w:t>
            </w:r>
            <w:r w:rsidRPr="00DA6EA8">
              <w:rPr>
                <w:sz w:val="20"/>
              </w:rPr>
              <w:t>Bonds</w:t>
            </w:r>
          </w:p>
          <w:p w14:paraId="2685F168" w14:textId="77777777" w:rsidR="00EB329F" w:rsidRPr="00DA6EA8" w:rsidRDefault="00EB329F" w:rsidP="000D1C0D">
            <w:pPr>
              <w:jc w:val="right"/>
              <w:rPr>
                <w:sz w:val="20"/>
              </w:rPr>
            </w:pPr>
          </w:p>
        </w:tc>
        <w:tc>
          <w:tcPr>
            <w:tcW w:w="3759" w:type="dxa"/>
            <w:tcBorders>
              <w:top w:val="single" w:sz="6" w:space="0" w:color="auto"/>
            </w:tcBorders>
          </w:tcPr>
          <w:p w14:paraId="7B8AF952" w14:textId="77777777" w:rsidR="00EB329F" w:rsidRPr="00DA6EA8" w:rsidRDefault="00EB329F" w:rsidP="000D1C0D">
            <w:pPr>
              <w:rPr>
                <w:sz w:val="20"/>
              </w:rPr>
            </w:pPr>
            <w:r w:rsidRPr="00DA6EA8">
              <w:rPr>
                <w:sz w:val="20"/>
              </w:rPr>
              <w:t>Includes bonds issued from any form of government including but not limited to the following where term to maturity from issue date &gt; 1 year:</w:t>
            </w:r>
            <w:r w:rsidRPr="001A67CD">
              <w:rPr>
                <w:sz w:val="20"/>
                <w:szCs w:val="20"/>
              </w:rPr>
              <w:t xml:space="preserve"> </w:t>
            </w:r>
          </w:p>
        </w:tc>
        <w:tc>
          <w:tcPr>
            <w:tcW w:w="2435" w:type="dxa"/>
            <w:tcBorders>
              <w:top w:val="single" w:sz="6" w:space="0" w:color="auto"/>
            </w:tcBorders>
            <w:vAlign w:val="center"/>
          </w:tcPr>
          <w:p w14:paraId="1D8BB720" w14:textId="77777777" w:rsidR="00EB329F" w:rsidRPr="000D1C0D" w:rsidRDefault="00EB329F" w:rsidP="008A38E7">
            <w:pPr>
              <w:jc w:val="center"/>
              <w:rPr>
                <w:b/>
                <w:sz w:val="20"/>
              </w:rPr>
            </w:pPr>
          </w:p>
        </w:tc>
        <w:tc>
          <w:tcPr>
            <w:tcW w:w="2896" w:type="dxa"/>
            <w:vMerge w:val="restart"/>
            <w:tcBorders>
              <w:top w:val="single" w:sz="6" w:space="0" w:color="auto"/>
            </w:tcBorders>
            <w:vAlign w:val="center"/>
          </w:tcPr>
          <w:p w14:paraId="13FD15AD" w14:textId="3027C333" w:rsidR="00EB329F" w:rsidRPr="008A38E7" w:rsidRDefault="00EB329F" w:rsidP="008A38E7">
            <w:pPr>
              <w:rPr>
                <w:sz w:val="20"/>
              </w:rPr>
            </w:pPr>
            <w:r w:rsidRPr="008A38E7">
              <w:rPr>
                <w:sz w:val="20"/>
              </w:rPr>
              <w:t>Any transaction that currently trades on a T+</w:t>
            </w:r>
            <w:r w:rsidRPr="0051370B">
              <w:rPr>
                <w:sz w:val="20"/>
                <w:szCs w:val="20"/>
              </w:rPr>
              <w:t>2</w:t>
            </w:r>
            <w:r w:rsidRPr="008A38E7">
              <w:rPr>
                <w:sz w:val="20"/>
              </w:rPr>
              <w:t xml:space="preserve"> basis will transition to T+</w:t>
            </w:r>
            <w:r w:rsidRPr="0051370B">
              <w:rPr>
                <w:sz w:val="20"/>
                <w:szCs w:val="20"/>
              </w:rPr>
              <w:t>1</w:t>
            </w:r>
            <w:r w:rsidRPr="008A38E7">
              <w:rPr>
                <w:sz w:val="20"/>
              </w:rPr>
              <w:t xml:space="preserve">. Current ‘special terms’ trades will </w:t>
            </w:r>
            <w:r w:rsidRPr="0051370B">
              <w:rPr>
                <w:sz w:val="20"/>
                <w:szCs w:val="20"/>
              </w:rPr>
              <w:t>stay</w:t>
            </w:r>
            <w:r w:rsidRPr="008A38E7">
              <w:rPr>
                <w:sz w:val="20"/>
              </w:rPr>
              <w:t xml:space="preserve"> unchanged.</w:t>
            </w:r>
          </w:p>
        </w:tc>
      </w:tr>
      <w:tr w:rsidR="00237D22" w:rsidRPr="001A67CD" w14:paraId="31A86798" w14:textId="77777777" w:rsidTr="0056173B">
        <w:tc>
          <w:tcPr>
            <w:tcW w:w="1981" w:type="dxa"/>
            <w:vMerge/>
          </w:tcPr>
          <w:p w14:paraId="6CB8550D" w14:textId="77777777" w:rsidR="00EB329F" w:rsidRPr="008A38E7" w:rsidRDefault="00EB329F">
            <w:pPr>
              <w:pStyle w:val="ListParagraph"/>
              <w:numPr>
                <w:ilvl w:val="0"/>
                <w:numId w:val="5"/>
              </w:numPr>
              <w:rPr>
                <w:sz w:val="20"/>
              </w:rPr>
            </w:pPr>
          </w:p>
        </w:tc>
        <w:tc>
          <w:tcPr>
            <w:tcW w:w="3759" w:type="dxa"/>
          </w:tcPr>
          <w:p w14:paraId="76A3B8CC" w14:textId="6685A785" w:rsidR="00EB329F" w:rsidRPr="00DA6EA8" w:rsidRDefault="00EB329F" w:rsidP="000D1C0D">
            <w:pPr>
              <w:pStyle w:val="ListParagraph"/>
              <w:numPr>
                <w:ilvl w:val="0"/>
                <w:numId w:val="3"/>
              </w:numPr>
              <w:rPr>
                <w:sz w:val="20"/>
              </w:rPr>
            </w:pPr>
            <w:r w:rsidRPr="00DA6EA8">
              <w:rPr>
                <w:sz w:val="20"/>
              </w:rPr>
              <w:t xml:space="preserve">Municipal </w:t>
            </w:r>
            <w:r>
              <w:rPr>
                <w:sz w:val="20"/>
                <w:szCs w:val="20"/>
              </w:rPr>
              <w:t>b</w:t>
            </w:r>
            <w:r w:rsidRPr="001A67CD">
              <w:rPr>
                <w:sz w:val="20"/>
                <w:szCs w:val="20"/>
              </w:rPr>
              <w:t>onds</w:t>
            </w:r>
          </w:p>
        </w:tc>
        <w:tc>
          <w:tcPr>
            <w:tcW w:w="2435" w:type="dxa"/>
          </w:tcPr>
          <w:p w14:paraId="01F56BAA" w14:textId="77777777" w:rsidR="00EB329F" w:rsidRPr="00DA6EA8" w:rsidRDefault="00EB329F" w:rsidP="000D1C0D">
            <w:pPr>
              <w:jc w:val="center"/>
              <w:rPr>
                <w:b/>
                <w:sz w:val="20"/>
              </w:rPr>
            </w:pPr>
            <w:r w:rsidRPr="00DA6EA8">
              <w:rPr>
                <w:b/>
                <w:sz w:val="20"/>
              </w:rPr>
              <w:t>YES</w:t>
            </w:r>
          </w:p>
        </w:tc>
        <w:tc>
          <w:tcPr>
            <w:tcW w:w="2896" w:type="dxa"/>
            <w:vMerge/>
          </w:tcPr>
          <w:p w14:paraId="3F300E7B" w14:textId="77777777" w:rsidR="00EB329F" w:rsidRPr="008A38E7" w:rsidRDefault="00EB329F" w:rsidP="000D1C0D">
            <w:pPr>
              <w:rPr>
                <w:sz w:val="20"/>
              </w:rPr>
            </w:pPr>
          </w:p>
        </w:tc>
      </w:tr>
      <w:tr w:rsidR="00237D22" w:rsidRPr="001A67CD" w14:paraId="6BF1C505" w14:textId="77777777" w:rsidTr="0056173B">
        <w:tc>
          <w:tcPr>
            <w:tcW w:w="1981" w:type="dxa"/>
            <w:vMerge/>
          </w:tcPr>
          <w:p w14:paraId="249AF3B5" w14:textId="77777777" w:rsidR="00EB329F" w:rsidRPr="008A38E7" w:rsidRDefault="00EB329F">
            <w:pPr>
              <w:pStyle w:val="ListParagraph"/>
              <w:numPr>
                <w:ilvl w:val="0"/>
                <w:numId w:val="5"/>
              </w:numPr>
              <w:rPr>
                <w:sz w:val="20"/>
              </w:rPr>
            </w:pPr>
          </w:p>
        </w:tc>
        <w:tc>
          <w:tcPr>
            <w:tcW w:w="3759" w:type="dxa"/>
          </w:tcPr>
          <w:p w14:paraId="67843726" w14:textId="7B001219" w:rsidR="00EB329F" w:rsidRPr="00DA6EA8" w:rsidRDefault="00EB329F" w:rsidP="000D1C0D">
            <w:pPr>
              <w:pStyle w:val="ListParagraph"/>
              <w:numPr>
                <w:ilvl w:val="0"/>
                <w:numId w:val="3"/>
              </w:numPr>
              <w:rPr>
                <w:sz w:val="20"/>
              </w:rPr>
            </w:pPr>
            <w:r w:rsidRPr="00DA6EA8">
              <w:rPr>
                <w:sz w:val="20"/>
              </w:rPr>
              <w:t xml:space="preserve">Provincial </w:t>
            </w:r>
            <w:r>
              <w:rPr>
                <w:sz w:val="20"/>
                <w:szCs w:val="20"/>
              </w:rPr>
              <w:t>bonds</w:t>
            </w:r>
          </w:p>
        </w:tc>
        <w:tc>
          <w:tcPr>
            <w:tcW w:w="2435" w:type="dxa"/>
          </w:tcPr>
          <w:p w14:paraId="5644A92F" w14:textId="77777777" w:rsidR="00EB329F" w:rsidRPr="00DA6EA8" w:rsidRDefault="00EB329F" w:rsidP="000D1C0D">
            <w:pPr>
              <w:jc w:val="center"/>
              <w:rPr>
                <w:b/>
                <w:sz w:val="20"/>
              </w:rPr>
            </w:pPr>
            <w:r w:rsidRPr="00DA6EA8">
              <w:rPr>
                <w:b/>
                <w:sz w:val="20"/>
              </w:rPr>
              <w:t>YES</w:t>
            </w:r>
          </w:p>
        </w:tc>
        <w:tc>
          <w:tcPr>
            <w:tcW w:w="2896" w:type="dxa"/>
            <w:vMerge/>
          </w:tcPr>
          <w:p w14:paraId="231B5DFF" w14:textId="77777777" w:rsidR="00EB329F" w:rsidRPr="008A38E7" w:rsidRDefault="00EB329F" w:rsidP="000D1C0D">
            <w:pPr>
              <w:rPr>
                <w:sz w:val="20"/>
              </w:rPr>
            </w:pPr>
          </w:p>
        </w:tc>
      </w:tr>
      <w:tr w:rsidR="00237D22" w:rsidRPr="001A67CD" w14:paraId="0122D9B3" w14:textId="77777777" w:rsidTr="0056173B">
        <w:tc>
          <w:tcPr>
            <w:tcW w:w="1981" w:type="dxa"/>
            <w:vMerge/>
          </w:tcPr>
          <w:p w14:paraId="3520324D" w14:textId="77777777" w:rsidR="00EB329F" w:rsidRPr="000D1C0D" w:rsidRDefault="00EB329F">
            <w:pPr>
              <w:pStyle w:val="ListParagraph"/>
              <w:numPr>
                <w:ilvl w:val="0"/>
                <w:numId w:val="5"/>
              </w:numPr>
              <w:rPr>
                <w:sz w:val="20"/>
              </w:rPr>
            </w:pPr>
          </w:p>
        </w:tc>
        <w:tc>
          <w:tcPr>
            <w:tcW w:w="3759" w:type="dxa"/>
          </w:tcPr>
          <w:p w14:paraId="2F367397" w14:textId="411DBA55" w:rsidR="00EB329F" w:rsidRPr="00DA6EA8" w:rsidRDefault="00EB329F" w:rsidP="000D1C0D">
            <w:pPr>
              <w:pStyle w:val="ListParagraph"/>
              <w:numPr>
                <w:ilvl w:val="0"/>
                <w:numId w:val="3"/>
              </w:numPr>
              <w:rPr>
                <w:sz w:val="20"/>
              </w:rPr>
            </w:pPr>
            <w:r w:rsidRPr="00DA6EA8">
              <w:rPr>
                <w:sz w:val="20"/>
              </w:rPr>
              <w:t xml:space="preserve">Federal </w:t>
            </w:r>
            <w:r>
              <w:rPr>
                <w:sz w:val="20"/>
                <w:szCs w:val="20"/>
              </w:rPr>
              <w:t>b</w:t>
            </w:r>
            <w:r w:rsidRPr="001A67CD">
              <w:rPr>
                <w:sz w:val="20"/>
                <w:szCs w:val="20"/>
              </w:rPr>
              <w:t>onds</w:t>
            </w:r>
            <w:r w:rsidRPr="00DA6EA8">
              <w:rPr>
                <w:sz w:val="20"/>
              </w:rPr>
              <w:t xml:space="preserve"> – term over 3 years</w:t>
            </w:r>
          </w:p>
        </w:tc>
        <w:tc>
          <w:tcPr>
            <w:tcW w:w="2435" w:type="dxa"/>
          </w:tcPr>
          <w:p w14:paraId="56FD237F" w14:textId="77777777" w:rsidR="00EB329F" w:rsidRPr="00DA6EA8" w:rsidRDefault="00EB329F" w:rsidP="000D1C0D">
            <w:pPr>
              <w:jc w:val="center"/>
              <w:rPr>
                <w:b/>
                <w:sz w:val="20"/>
              </w:rPr>
            </w:pPr>
            <w:r w:rsidRPr="00DA6EA8">
              <w:rPr>
                <w:b/>
                <w:sz w:val="20"/>
              </w:rPr>
              <w:t>YES</w:t>
            </w:r>
          </w:p>
        </w:tc>
        <w:tc>
          <w:tcPr>
            <w:tcW w:w="2896" w:type="dxa"/>
            <w:vMerge/>
          </w:tcPr>
          <w:p w14:paraId="4847AF74" w14:textId="77777777" w:rsidR="00EB329F" w:rsidRPr="008A38E7" w:rsidRDefault="00EB329F" w:rsidP="000D1C0D">
            <w:pPr>
              <w:rPr>
                <w:sz w:val="20"/>
              </w:rPr>
            </w:pPr>
          </w:p>
        </w:tc>
      </w:tr>
      <w:tr w:rsidR="00EB329F" w:rsidRPr="001A67CD" w14:paraId="74893525" w14:textId="77777777" w:rsidTr="0056173B">
        <w:tc>
          <w:tcPr>
            <w:tcW w:w="1981" w:type="dxa"/>
            <w:vMerge/>
          </w:tcPr>
          <w:p w14:paraId="3106525D" w14:textId="77777777" w:rsidR="00EB329F" w:rsidRPr="008A38E7" w:rsidRDefault="00EB329F">
            <w:pPr>
              <w:pStyle w:val="ListParagraph"/>
              <w:numPr>
                <w:ilvl w:val="0"/>
                <w:numId w:val="5"/>
              </w:numPr>
              <w:rPr>
                <w:sz w:val="20"/>
              </w:rPr>
            </w:pPr>
          </w:p>
        </w:tc>
        <w:tc>
          <w:tcPr>
            <w:tcW w:w="3759" w:type="dxa"/>
          </w:tcPr>
          <w:p w14:paraId="5A928550" w14:textId="6D4BB0A6" w:rsidR="00EB329F" w:rsidRPr="00DA6EA8" w:rsidRDefault="00EB329F" w:rsidP="000D1C0D">
            <w:pPr>
              <w:pStyle w:val="ListParagraph"/>
              <w:numPr>
                <w:ilvl w:val="0"/>
                <w:numId w:val="3"/>
              </w:numPr>
              <w:rPr>
                <w:sz w:val="20"/>
              </w:rPr>
            </w:pPr>
            <w:r w:rsidRPr="00DA6EA8">
              <w:rPr>
                <w:sz w:val="20"/>
              </w:rPr>
              <w:t xml:space="preserve">Federal </w:t>
            </w:r>
            <w:r>
              <w:rPr>
                <w:sz w:val="20"/>
                <w:szCs w:val="20"/>
              </w:rPr>
              <w:t>b</w:t>
            </w:r>
            <w:r w:rsidRPr="001A67CD">
              <w:rPr>
                <w:sz w:val="20"/>
                <w:szCs w:val="20"/>
              </w:rPr>
              <w:t>onds</w:t>
            </w:r>
            <w:r w:rsidRPr="00DA6EA8">
              <w:rPr>
                <w:sz w:val="20"/>
              </w:rPr>
              <w:t xml:space="preserve"> – term of 3 years or less</w:t>
            </w:r>
          </w:p>
        </w:tc>
        <w:tc>
          <w:tcPr>
            <w:tcW w:w="2435" w:type="dxa"/>
          </w:tcPr>
          <w:p w14:paraId="42113700" w14:textId="007855E5" w:rsidR="00EB329F" w:rsidRPr="008A38E7" w:rsidRDefault="00EB329F" w:rsidP="008A38E7">
            <w:pPr>
              <w:jc w:val="center"/>
              <w:rPr>
                <w:b/>
                <w:sz w:val="20"/>
              </w:rPr>
            </w:pPr>
            <w:r w:rsidRPr="00641022">
              <w:rPr>
                <w:b/>
                <w:bCs/>
                <w:sz w:val="20"/>
                <w:szCs w:val="20"/>
              </w:rPr>
              <w:t>YES</w:t>
            </w:r>
          </w:p>
        </w:tc>
        <w:tc>
          <w:tcPr>
            <w:tcW w:w="2896" w:type="dxa"/>
          </w:tcPr>
          <w:p w14:paraId="2977D092" w14:textId="77777777" w:rsidR="00EB329F" w:rsidRPr="00DA6EA8" w:rsidRDefault="00EB329F" w:rsidP="008A38E7">
            <w:pPr>
              <w:rPr>
                <w:sz w:val="20"/>
              </w:rPr>
            </w:pPr>
            <w:r w:rsidRPr="00DA6EA8">
              <w:rPr>
                <w:sz w:val="20"/>
              </w:rPr>
              <w:t>Currently settles on T+2.</w:t>
            </w:r>
          </w:p>
        </w:tc>
      </w:tr>
      <w:tr w:rsidR="00EB329F" w:rsidRPr="001A67CD" w14:paraId="1589B871" w14:textId="77777777" w:rsidTr="0056173B">
        <w:tc>
          <w:tcPr>
            <w:tcW w:w="1981" w:type="dxa"/>
            <w:vMerge/>
          </w:tcPr>
          <w:p w14:paraId="4EC8D0EA" w14:textId="77777777" w:rsidR="00EB329F" w:rsidRPr="00DA6EA8" w:rsidRDefault="00EB329F">
            <w:pPr>
              <w:pStyle w:val="ListParagraph"/>
              <w:numPr>
                <w:ilvl w:val="0"/>
                <w:numId w:val="5"/>
              </w:numPr>
              <w:rPr>
                <w:sz w:val="20"/>
              </w:rPr>
            </w:pPr>
          </w:p>
        </w:tc>
        <w:tc>
          <w:tcPr>
            <w:tcW w:w="3759" w:type="dxa"/>
          </w:tcPr>
          <w:p w14:paraId="0903803F" w14:textId="4360186C" w:rsidR="00EB329F" w:rsidRPr="00DA6EA8" w:rsidRDefault="00EB329F">
            <w:pPr>
              <w:pStyle w:val="ListParagraph"/>
              <w:numPr>
                <w:ilvl w:val="0"/>
                <w:numId w:val="4"/>
              </w:numPr>
              <w:rPr>
                <w:sz w:val="20"/>
              </w:rPr>
            </w:pPr>
            <w:r w:rsidRPr="00DA6EA8">
              <w:rPr>
                <w:sz w:val="20"/>
              </w:rPr>
              <w:t xml:space="preserve">Savings </w:t>
            </w:r>
            <w:r>
              <w:rPr>
                <w:sz w:val="20"/>
                <w:szCs w:val="20"/>
              </w:rPr>
              <w:t>b</w:t>
            </w:r>
            <w:r w:rsidRPr="00424522">
              <w:rPr>
                <w:sz w:val="20"/>
                <w:szCs w:val="20"/>
              </w:rPr>
              <w:t>onds</w:t>
            </w:r>
          </w:p>
        </w:tc>
        <w:tc>
          <w:tcPr>
            <w:tcW w:w="2435" w:type="dxa"/>
          </w:tcPr>
          <w:p w14:paraId="665B9F31" w14:textId="77777777" w:rsidR="00EB329F" w:rsidRPr="00DA6EA8" w:rsidRDefault="00EB329F" w:rsidP="008A38E7">
            <w:pPr>
              <w:jc w:val="center"/>
              <w:rPr>
                <w:sz w:val="20"/>
              </w:rPr>
            </w:pPr>
            <w:r w:rsidRPr="00DA6EA8">
              <w:rPr>
                <w:sz w:val="20"/>
              </w:rPr>
              <w:t>NO</w:t>
            </w:r>
          </w:p>
        </w:tc>
        <w:tc>
          <w:tcPr>
            <w:tcW w:w="2896" w:type="dxa"/>
          </w:tcPr>
          <w:p w14:paraId="63F6FE61" w14:textId="77777777" w:rsidR="00EB329F" w:rsidRPr="00DA6EA8" w:rsidRDefault="00EB329F" w:rsidP="008A38E7">
            <w:pPr>
              <w:rPr>
                <w:sz w:val="20"/>
              </w:rPr>
            </w:pPr>
            <w:r w:rsidRPr="00DA6EA8">
              <w:rPr>
                <w:sz w:val="20"/>
              </w:rPr>
              <w:t>Savings bonds do not trade.</w:t>
            </w:r>
          </w:p>
        </w:tc>
      </w:tr>
      <w:tr w:rsidR="00EB329F" w:rsidRPr="001A67CD" w14:paraId="5F73C057" w14:textId="77777777" w:rsidTr="0056173B">
        <w:tc>
          <w:tcPr>
            <w:tcW w:w="1981" w:type="dxa"/>
            <w:vMerge/>
          </w:tcPr>
          <w:p w14:paraId="5F757B6D" w14:textId="77777777" w:rsidR="00EB329F" w:rsidRPr="00DA6EA8" w:rsidRDefault="00EB329F" w:rsidP="008A38E7">
            <w:pPr>
              <w:pStyle w:val="ListParagraph"/>
              <w:ind w:left="360"/>
              <w:rPr>
                <w:sz w:val="20"/>
              </w:rPr>
            </w:pPr>
          </w:p>
        </w:tc>
        <w:tc>
          <w:tcPr>
            <w:tcW w:w="3759" w:type="dxa"/>
          </w:tcPr>
          <w:p w14:paraId="390CDD2A" w14:textId="76EFDC6E" w:rsidR="00EB329F" w:rsidRPr="00DA6EA8" w:rsidRDefault="00EB329F">
            <w:pPr>
              <w:pStyle w:val="ListParagraph"/>
              <w:numPr>
                <w:ilvl w:val="0"/>
                <w:numId w:val="4"/>
              </w:numPr>
              <w:rPr>
                <w:sz w:val="20"/>
              </w:rPr>
            </w:pPr>
            <w:bookmarkStart w:id="1" w:name="_Hlk102726998"/>
            <w:r w:rsidRPr="00DA6EA8">
              <w:rPr>
                <w:sz w:val="20"/>
              </w:rPr>
              <w:t>Agency Bonds (e.g., Canada Mortgage Bonds issued by the Canada Housing Trust and fully guaranteed by the Government of Canada through the Canada Mortgage and Housing Corporation (CMHC))</w:t>
            </w:r>
            <w:bookmarkEnd w:id="1"/>
          </w:p>
        </w:tc>
        <w:tc>
          <w:tcPr>
            <w:tcW w:w="2435" w:type="dxa"/>
          </w:tcPr>
          <w:p w14:paraId="0D07CF60" w14:textId="77777777" w:rsidR="00EB329F" w:rsidRPr="0056173B" w:rsidRDefault="00EB329F" w:rsidP="00EB329F">
            <w:pPr>
              <w:jc w:val="center"/>
              <w:rPr>
                <w:sz w:val="20"/>
                <w:szCs w:val="20"/>
              </w:rPr>
            </w:pPr>
            <w:r w:rsidRPr="008A38E7">
              <w:rPr>
                <w:b/>
                <w:sz w:val="20"/>
              </w:rPr>
              <w:t>YES</w:t>
            </w:r>
          </w:p>
          <w:p w14:paraId="39F6CCB7" w14:textId="18A10B4B" w:rsidR="00C905DD" w:rsidRDefault="000323ED" w:rsidP="007E6114">
            <w:pPr>
              <w:pStyle w:val="NormalWeb"/>
              <w:spacing w:before="0" w:beforeAutospacing="0" w:after="0" w:afterAutospacing="0"/>
              <w:jc w:val="center"/>
              <w:rPr>
                <w:sz w:val="20"/>
                <w:szCs w:val="20"/>
              </w:rPr>
            </w:pPr>
            <w:r w:rsidRPr="0056173B">
              <w:rPr>
                <w:sz w:val="20"/>
                <w:szCs w:val="20"/>
              </w:rPr>
              <w:t>(</w:t>
            </w:r>
            <w:r w:rsidRPr="000323ED">
              <w:rPr>
                <w:b/>
                <w:bCs/>
                <w:sz w:val="20"/>
                <w:szCs w:val="20"/>
              </w:rPr>
              <w:t xml:space="preserve">Note:  </w:t>
            </w:r>
            <w:r w:rsidR="00C905DD">
              <w:rPr>
                <w:sz w:val="20"/>
                <w:szCs w:val="20"/>
              </w:rPr>
              <w:t>Awaiting formal confirmation from CMHC</w:t>
            </w:r>
            <w:r>
              <w:rPr>
                <w:sz w:val="20"/>
                <w:szCs w:val="20"/>
              </w:rPr>
              <w:t>)</w:t>
            </w:r>
          </w:p>
          <w:p w14:paraId="3D8D628F" w14:textId="34BB35B2" w:rsidR="00C905DD" w:rsidRPr="008A38E7" w:rsidRDefault="00C905DD" w:rsidP="000D1C0D">
            <w:pPr>
              <w:jc w:val="center"/>
              <w:rPr>
                <w:b/>
                <w:sz w:val="20"/>
              </w:rPr>
            </w:pPr>
          </w:p>
        </w:tc>
        <w:tc>
          <w:tcPr>
            <w:tcW w:w="2896" w:type="dxa"/>
          </w:tcPr>
          <w:p w14:paraId="740ADAAB" w14:textId="47C9F22C" w:rsidR="00EB329F" w:rsidRPr="00DA6EA8" w:rsidRDefault="00EB329F" w:rsidP="000D1C0D">
            <w:pPr>
              <w:pStyle w:val="NormalWeb"/>
              <w:spacing w:before="0" w:beforeAutospacing="0" w:after="0" w:afterAutospacing="0"/>
              <w:rPr>
                <w:sz w:val="20"/>
              </w:rPr>
            </w:pPr>
            <w:r>
              <w:rPr>
                <w:sz w:val="20"/>
                <w:szCs w:val="20"/>
              </w:rPr>
              <w:t>This does not apply to s</w:t>
            </w:r>
            <w:r w:rsidRPr="00484779">
              <w:rPr>
                <w:sz w:val="20"/>
                <w:szCs w:val="20"/>
              </w:rPr>
              <w:t>ettlement</w:t>
            </w:r>
            <w:r w:rsidRPr="00DA6EA8">
              <w:rPr>
                <w:sz w:val="20"/>
              </w:rPr>
              <w:t xml:space="preserve"> for primary</w:t>
            </w:r>
            <w:r w:rsidR="000323ED">
              <w:rPr>
                <w:sz w:val="20"/>
              </w:rPr>
              <w:t xml:space="preserve"> </w:t>
            </w:r>
            <w:r w:rsidRPr="00DA6EA8">
              <w:rPr>
                <w:sz w:val="20"/>
              </w:rPr>
              <w:t>issuance of these bonds</w:t>
            </w:r>
            <w:r>
              <w:rPr>
                <w:sz w:val="20"/>
                <w:szCs w:val="20"/>
              </w:rPr>
              <w:t>.</w:t>
            </w:r>
          </w:p>
        </w:tc>
      </w:tr>
      <w:tr w:rsidR="00EB329F" w:rsidRPr="001A67CD" w14:paraId="5BF62A7C" w14:textId="77777777" w:rsidTr="0056173B">
        <w:tc>
          <w:tcPr>
            <w:tcW w:w="1981" w:type="dxa"/>
          </w:tcPr>
          <w:p w14:paraId="76A6AAEF" w14:textId="295C578E" w:rsidR="00EB329F" w:rsidRPr="00DA6EA8" w:rsidRDefault="00EB329F">
            <w:pPr>
              <w:pStyle w:val="ListParagraph"/>
              <w:numPr>
                <w:ilvl w:val="0"/>
                <w:numId w:val="5"/>
              </w:numPr>
              <w:rPr>
                <w:sz w:val="20"/>
              </w:rPr>
            </w:pPr>
            <w:r w:rsidRPr="00DA6EA8">
              <w:rPr>
                <w:sz w:val="20"/>
              </w:rPr>
              <w:t>Convertible Bonds</w:t>
            </w:r>
          </w:p>
        </w:tc>
        <w:tc>
          <w:tcPr>
            <w:tcW w:w="3759" w:type="dxa"/>
          </w:tcPr>
          <w:p w14:paraId="44E56899" w14:textId="59C22F6F" w:rsidR="00EB329F" w:rsidRPr="00DA6EA8" w:rsidRDefault="00EB329F" w:rsidP="008A38E7">
            <w:pPr>
              <w:rPr>
                <w:sz w:val="20"/>
              </w:rPr>
            </w:pPr>
            <w:r w:rsidRPr="00DA6EA8">
              <w:rPr>
                <w:sz w:val="20"/>
              </w:rPr>
              <w:t>While at times treated as equity given they may be converted to equity, these securities should remain a unique asset</w:t>
            </w:r>
            <w:r w:rsidRPr="001A67CD">
              <w:rPr>
                <w:sz w:val="20"/>
                <w:szCs w:val="20"/>
              </w:rPr>
              <w:t xml:space="preserve"> class under Fixed Income until and if such a time as conversion is exercised. At the time of exercise, the holding will appear under the subtype of the security the</w:t>
            </w:r>
            <w:r>
              <w:rPr>
                <w:sz w:val="20"/>
                <w:szCs w:val="20"/>
              </w:rPr>
              <w:t xml:space="preserve"> debenture was converted into</w:t>
            </w:r>
          </w:p>
        </w:tc>
        <w:tc>
          <w:tcPr>
            <w:tcW w:w="2435" w:type="dxa"/>
            <w:vAlign w:val="center"/>
          </w:tcPr>
          <w:p w14:paraId="2FEA90EC" w14:textId="77777777" w:rsidR="00EB329F" w:rsidRPr="00DA6EA8" w:rsidRDefault="00EB329F" w:rsidP="008A38E7">
            <w:pPr>
              <w:jc w:val="center"/>
              <w:rPr>
                <w:b/>
                <w:sz w:val="20"/>
              </w:rPr>
            </w:pPr>
            <w:r w:rsidRPr="00DA6EA8">
              <w:rPr>
                <w:b/>
                <w:sz w:val="20"/>
              </w:rPr>
              <w:t>YES</w:t>
            </w:r>
          </w:p>
        </w:tc>
        <w:tc>
          <w:tcPr>
            <w:tcW w:w="2896" w:type="dxa"/>
            <w:vAlign w:val="center"/>
          </w:tcPr>
          <w:p w14:paraId="54C67152" w14:textId="12E2D8C7" w:rsidR="00EB329F" w:rsidRPr="008A38E7" w:rsidRDefault="00EB329F" w:rsidP="008A38E7">
            <w:pPr>
              <w:rPr>
                <w:sz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CE792C">
              <w:rPr>
                <w:sz w:val="20"/>
                <w:szCs w:val="20"/>
              </w:rPr>
              <w:t>. Current ‘special terms’ trades (other than T+</w:t>
            </w:r>
            <w:r>
              <w:rPr>
                <w:sz w:val="20"/>
                <w:szCs w:val="20"/>
              </w:rPr>
              <w:t>2</w:t>
            </w:r>
            <w:r w:rsidRPr="00CE792C">
              <w:rPr>
                <w:sz w:val="20"/>
                <w:szCs w:val="20"/>
              </w:rPr>
              <w:t xml:space="preserve">) will </w:t>
            </w:r>
            <w:r>
              <w:rPr>
                <w:sz w:val="20"/>
                <w:szCs w:val="20"/>
              </w:rPr>
              <w:t>stay</w:t>
            </w:r>
            <w:r w:rsidRPr="00CE792C">
              <w:rPr>
                <w:sz w:val="20"/>
                <w:szCs w:val="20"/>
              </w:rPr>
              <w:t xml:space="preserve"> unchanged</w:t>
            </w:r>
            <w:r w:rsidRPr="008A38E7">
              <w:rPr>
                <w:sz w:val="20"/>
              </w:rPr>
              <w:t>.</w:t>
            </w:r>
          </w:p>
        </w:tc>
      </w:tr>
      <w:tr w:rsidR="000D1C0D" w:rsidRPr="001A67CD" w14:paraId="09A9C7BB" w14:textId="77777777" w:rsidTr="0056173B">
        <w:tc>
          <w:tcPr>
            <w:tcW w:w="1981" w:type="dxa"/>
            <w:vMerge w:val="restart"/>
          </w:tcPr>
          <w:p w14:paraId="0DC8ACC5" w14:textId="77777777" w:rsidR="000D1C0D" w:rsidRPr="00896877" w:rsidRDefault="000D1C0D">
            <w:pPr>
              <w:pStyle w:val="ListParagraph"/>
              <w:numPr>
                <w:ilvl w:val="0"/>
                <w:numId w:val="5"/>
              </w:numPr>
              <w:rPr>
                <w:sz w:val="20"/>
                <w:szCs w:val="20"/>
              </w:rPr>
            </w:pPr>
            <w:r w:rsidRPr="00896877">
              <w:rPr>
                <w:sz w:val="20"/>
                <w:szCs w:val="20"/>
              </w:rPr>
              <w:t>Fixed-Income Funds</w:t>
            </w:r>
          </w:p>
        </w:tc>
        <w:tc>
          <w:tcPr>
            <w:tcW w:w="3759" w:type="dxa"/>
          </w:tcPr>
          <w:p w14:paraId="6698AD3F" w14:textId="77777777" w:rsidR="000D1C0D" w:rsidRPr="001A67CD" w:rsidRDefault="000D1C0D" w:rsidP="00EB329F">
            <w:pPr>
              <w:rPr>
                <w:sz w:val="20"/>
                <w:szCs w:val="20"/>
              </w:rPr>
            </w:pPr>
            <w:r w:rsidRPr="001A67CD">
              <w:rPr>
                <w:sz w:val="20"/>
                <w:szCs w:val="20"/>
              </w:rPr>
              <w:t>Includes fixed</w:t>
            </w:r>
            <w:r>
              <w:rPr>
                <w:sz w:val="20"/>
                <w:szCs w:val="20"/>
              </w:rPr>
              <w:t>-</w:t>
            </w:r>
            <w:r w:rsidRPr="001A67CD">
              <w:rPr>
                <w:sz w:val="20"/>
                <w:szCs w:val="20"/>
              </w:rPr>
              <w:t>income</w:t>
            </w:r>
            <w:r>
              <w:rPr>
                <w:sz w:val="20"/>
                <w:szCs w:val="20"/>
              </w:rPr>
              <w:t>-</w:t>
            </w:r>
            <w:r w:rsidRPr="001A67CD">
              <w:rPr>
                <w:sz w:val="20"/>
                <w:szCs w:val="20"/>
              </w:rPr>
              <w:t>focused:</w:t>
            </w:r>
          </w:p>
        </w:tc>
        <w:tc>
          <w:tcPr>
            <w:tcW w:w="2435" w:type="dxa"/>
            <w:vMerge w:val="restart"/>
            <w:vAlign w:val="center"/>
          </w:tcPr>
          <w:p w14:paraId="0A3B461F" w14:textId="322A35C4" w:rsidR="000D1C0D" w:rsidRPr="007E27EB" w:rsidRDefault="000D1C0D" w:rsidP="00EB329F">
            <w:pPr>
              <w:jc w:val="center"/>
              <w:rPr>
                <w:b/>
                <w:bCs/>
                <w:sz w:val="20"/>
                <w:szCs w:val="20"/>
              </w:rPr>
            </w:pPr>
            <w:r>
              <w:rPr>
                <w:b/>
                <w:bCs/>
                <w:sz w:val="20"/>
                <w:szCs w:val="20"/>
                <w:highlight w:val="yellow"/>
              </w:rPr>
              <w:t>Under review by the mutual funds industry; s</w:t>
            </w:r>
            <w:r w:rsidRPr="007E27EB">
              <w:rPr>
                <w:b/>
                <w:bCs/>
                <w:sz w:val="20"/>
                <w:szCs w:val="20"/>
                <w:highlight w:val="yellow"/>
              </w:rPr>
              <w:t>ee separate Funds table below</w:t>
            </w:r>
          </w:p>
        </w:tc>
        <w:tc>
          <w:tcPr>
            <w:tcW w:w="2896" w:type="dxa"/>
            <w:vMerge w:val="restart"/>
            <w:vAlign w:val="center"/>
          </w:tcPr>
          <w:p w14:paraId="1EFDCCE2" w14:textId="3F4947A3" w:rsidR="000D1C0D" w:rsidRPr="007E27EB" w:rsidRDefault="000D1C0D" w:rsidP="00EB329F">
            <w:pPr>
              <w:jc w:val="center"/>
              <w:rPr>
                <w:b/>
                <w:bCs/>
                <w:sz w:val="20"/>
                <w:szCs w:val="20"/>
              </w:rPr>
            </w:pPr>
            <w:r w:rsidRPr="007E27EB">
              <w:rPr>
                <w:b/>
                <w:bCs/>
                <w:sz w:val="20"/>
                <w:szCs w:val="20"/>
                <w:highlight w:val="yellow"/>
              </w:rPr>
              <w:t>See separate Funds table below</w:t>
            </w:r>
          </w:p>
        </w:tc>
      </w:tr>
      <w:tr w:rsidR="000D1C0D" w:rsidRPr="001A67CD" w14:paraId="2CEE6D3E" w14:textId="77777777" w:rsidTr="0056173B">
        <w:tc>
          <w:tcPr>
            <w:tcW w:w="1981" w:type="dxa"/>
            <w:vMerge/>
          </w:tcPr>
          <w:p w14:paraId="51600B4D" w14:textId="77777777" w:rsidR="000D1C0D" w:rsidRPr="00896877" w:rsidRDefault="000D1C0D">
            <w:pPr>
              <w:pStyle w:val="ListParagraph"/>
              <w:numPr>
                <w:ilvl w:val="0"/>
                <w:numId w:val="5"/>
              </w:numPr>
              <w:rPr>
                <w:sz w:val="20"/>
                <w:szCs w:val="20"/>
              </w:rPr>
            </w:pPr>
          </w:p>
        </w:tc>
        <w:tc>
          <w:tcPr>
            <w:tcW w:w="3759" w:type="dxa"/>
          </w:tcPr>
          <w:p w14:paraId="6C9E75EA" w14:textId="088490D0" w:rsidR="000D1C0D" w:rsidRPr="00ED6340" w:rsidRDefault="000D1C0D" w:rsidP="00EB329F">
            <w:pPr>
              <w:pStyle w:val="ListParagraph"/>
              <w:numPr>
                <w:ilvl w:val="0"/>
                <w:numId w:val="3"/>
              </w:numPr>
              <w:rPr>
                <w:sz w:val="20"/>
                <w:szCs w:val="20"/>
              </w:rPr>
            </w:pPr>
            <w:r w:rsidRPr="00ED6340">
              <w:rPr>
                <w:sz w:val="20"/>
                <w:szCs w:val="20"/>
              </w:rPr>
              <w:t xml:space="preserve">Mutual </w:t>
            </w:r>
            <w:r>
              <w:rPr>
                <w:sz w:val="20"/>
                <w:szCs w:val="20"/>
              </w:rPr>
              <w:t>f</w:t>
            </w:r>
            <w:r w:rsidRPr="00ED6340">
              <w:rPr>
                <w:sz w:val="20"/>
                <w:szCs w:val="20"/>
              </w:rPr>
              <w:t xml:space="preserve">unds </w:t>
            </w:r>
          </w:p>
        </w:tc>
        <w:tc>
          <w:tcPr>
            <w:tcW w:w="2435" w:type="dxa"/>
            <w:vMerge/>
          </w:tcPr>
          <w:p w14:paraId="161E9642" w14:textId="77777777" w:rsidR="000D1C0D" w:rsidRPr="00CE792C" w:rsidRDefault="000D1C0D" w:rsidP="00EB329F">
            <w:pPr>
              <w:jc w:val="center"/>
              <w:rPr>
                <w:sz w:val="20"/>
                <w:szCs w:val="20"/>
              </w:rPr>
            </w:pPr>
          </w:p>
        </w:tc>
        <w:tc>
          <w:tcPr>
            <w:tcW w:w="2896" w:type="dxa"/>
            <w:vMerge/>
          </w:tcPr>
          <w:p w14:paraId="2E772C62" w14:textId="77777777" w:rsidR="000D1C0D" w:rsidRPr="00CE792C" w:rsidRDefault="000D1C0D" w:rsidP="00EB329F">
            <w:pPr>
              <w:rPr>
                <w:sz w:val="20"/>
                <w:szCs w:val="20"/>
              </w:rPr>
            </w:pPr>
          </w:p>
        </w:tc>
      </w:tr>
      <w:tr w:rsidR="000D1C0D" w:rsidRPr="001A67CD" w14:paraId="2AF40FD7" w14:textId="77777777" w:rsidTr="0056173B">
        <w:trPr>
          <w:trHeight w:val="278"/>
        </w:trPr>
        <w:tc>
          <w:tcPr>
            <w:tcW w:w="1981" w:type="dxa"/>
            <w:vMerge/>
          </w:tcPr>
          <w:p w14:paraId="51E19B7E" w14:textId="77777777" w:rsidR="000D1C0D" w:rsidRPr="00896877" w:rsidRDefault="000D1C0D">
            <w:pPr>
              <w:pStyle w:val="ListParagraph"/>
              <w:numPr>
                <w:ilvl w:val="0"/>
                <w:numId w:val="5"/>
              </w:numPr>
              <w:rPr>
                <w:sz w:val="20"/>
                <w:szCs w:val="20"/>
              </w:rPr>
            </w:pPr>
          </w:p>
        </w:tc>
        <w:tc>
          <w:tcPr>
            <w:tcW w:w="3759" w:type="dxa"/>
          </w:tcPr>
          <w:p w14:paraId="571724E9" w14:textId="7D7A2D69" w:rsidR="000D1C0D" w:rsidRPr="00ED6340" w:rsidRDefault="000D1C0D" w:rsidP="00EB329F">
            <w:pPr>
              <w:pStyle w:val="ListParagraph"/>
              <w:numPr>
                <w:ilvl w:val="0"/>
                <w:numId w:val="3"/>
              </w:numPr>
              <w:rPr>
                <w:sz w:val="20"/>
                <w:szCs w:val="20"/>
              </w:rPr>
            </w:pPr>
            <w:r w:rsidRPr="00ED6340">
              <w:rPr>
                <w:sz w:val="20"/>
                <w:szCs w:val="20"/>
              </w:rPr>
              <w:t xml:space="preserve">Investment </w:t>
            </w:r>
            <w:r>
              <w:rPr>
                <w:sz w:val="20"/>
                <w:szCs w:val="20"/>
              </w:rPr>
              <w:t>f</w:t>
            </w:r>
            <w:r w:rsidRPr="00ED6340">
              <w:rPr>
                <w:sz w:val="20"/>
                <w:szCs w:val="20"/>
              </w:rPr>
              <w:t xml:space="preserve">unds </w:t>
            </w:r>
          </w:p>
        </w:tc>
        <w:tc>
          <w:tcPr>
            <w:tcW w:w="2435" w:type="dxa"/>
            <w:vMerge/>
          </w:tcPr>
          <w:p w14:paraId="2DEFED51" w14:textId="77777777" w:rsidR="000D1C0D" w:rsidRPr="00CE792C" w:rsidRDefault="000D1C0D" w:rsidP="00EB329F">
            <w:pPr>
              <w:jc w:val="center"/>
              <w:rPr>
                <w:sz w:val="20"/>
                <w:szCs w:val="20"/>
              </w:rPr>
            </w:pPr>
          </w:p>
        </w:tc>
        <w:tc>
          <w:tcPr>
            <w:tcW w:w="2896" w:type="dxa"/>
            <w:vMerge/>
          </w:tcPr>
          <w:p w14:paraId="686FFAC4" w14:textId="77777777" w:rsidR="000D1C0D" w:rsidRPr="00CE792C" w:rsidRDefault="000D1C0D" w:rsidP="00EB329F">
            <w:pPr>
              <w:rPr>
                <w:sz w:val="20"/>
                <w:szCs w:val="20"/>
              </w:rPr>
            </w:pPr>
          </w:p>
        </w:tc>
      </w:tr>
      <w:tr w:rsidR="000D1C0D" w:rsidRPr="001A67CD" w14:paraId="2DB76618" w14:textId="77777777" w:rsidTr="0056173B">
        <w:tc>
          <w:tcPr>
            <w:tcW w:w="1981" w:type="dxa"/>
            <w:vMerge/>
          </w:tcPr>
          <w:p w14:paraId="70106E63" w14:textId="77777777" w:rsidR="000D1C0D" w:rsidRPr="00896877" w:rsidRDefault="000D1C0D">
            <w:pPr>
              <w:pStyle w:val="ListParagraph"/>
              <w:numPr>
                <w:ilvl w:val="0"/>
                <w:numId w:val="5"/>
              </w:numPr>
              <w:rPr>
                <w:sz w:val="20"/>
                <w:szCs w:val="20"/>
              </w:rPr>
            </w:pPr>
          </w:p>
        </w:tc>
        <w:tc>
          <w:tcPr>
            <w:tcW w:w="3759" w:type="dxa"/>
          </w:tcPr>
          <w:p w14:paraId="4167D083" w14:textId="4D0FDED5" w:rsidR="000D1C0D" w:rsidRPr="00ED6340" w:rsidRDefault="000D1C0D" w:rsidP="00EB329F">
            <w:pPr>
              <w:pStyle w:val="ListParagraph"/>
              <w:numPr>
                <w:ilvl w:val="0"/>
                <w:numId w:val="3"/>
              </w:numPr>
              <w:rPr>
                <w:sz w:val="20"/>
                <w:szCs w:val="20"/>
              </w:rPr>
            </w:pPr>
            <w:r w:rsidRPr="00ED6340">
              <w:rPr>
                <w:sz w:val="20"/>
                <w:szCs w:val="20"/>
              </w:rPr>
              <w:t xml:space="preserve">Pooled </w:t>
            </w:r>
            <w:r>
              <w:rPr>
                <w:sz w:val="20"/>
                <w:szCs w:val="20"/>
              </w:rPr>
              <w:t>f</w:t>
            </w:r>
            <w:r w:rsidRPr="00ED6340">
              <w:rPr>
                <w:sz w:val="20"/>
                <w:szCs w:val="20"/>
              </w:rPr>
              <w:t>unds</w:t>
            </w:r>
            <w:r>
              <w:rPr>
                <w:sz w:val="20"/>
                <w:szCs w:val="20"/>
              </w:rPr>
              <w:t xml:space="preserve"> (including fund of funds)</w:t>
            </w:r>
          </w:p>
        </w:tc>
        <w:tc>
          <w:tcPr>
            <w:tcW w:w="2435" w:type="dxa"/>
            <w:vMerge/>
          </w:tcPr>
          <w:p w14:paraId="46B717DE" w14:textId="77777777" w:rsidR="000D1C0D" w:rsidRPr="00CE792C" w:rsidRDefault="000D1C0D" w:rsidP="00EB329F">
            <w:pPr>
              <w:jc w:val="center"/>
              <w:rPr>
                <w:sz w:val="20"/>
                <w:szCs w:val="20"/>
              </w:rPr>
            </w:pPr>
          </w:p>
        </w:tc>
        <w:tc>
          <w:tcPr>
            <w:tcW w:w="2896" w:type="dxa"/>
            <w:vMerge/>
          </w:tcPr>
          <w:p w14:paraId="791B7729" w14:textId="77777777" w:rsidR="000D1C0D" w:rsidRPr="00CE792C" w:rsidRDefault="000D1C0D" w:rsidP="00EB329F">
            <w:pPr>
              <w:rPr>
                <w:sz w:val="20"/>
                <w:szCs w:val="20"/>
              </w:rPr>
            </w:pPr>
          </w:p>
        </w:tc>
      </w:tr>
      <w:tr w:rsidR="000D1C0D" w:rsidRPr="001A67CD" w14:paraId="07D2DBD2" w14:textId="77777777" w:rsidTr="0056173B">
        <w:tc>
          <w:tcPr>
            <w:tcW w:w="1981" w:type="dxa"/>
            <w:vMerge/>
          </w:tcPr>
          <w:p w14:paraId="6FD4667B" w14:textId="77777777" w:rsidR="000D1C0D" w:rsidRPr="00896877" w:rsidRDefault="000D1C0D">
            <w:pPr>
              <w:pStyle w:val="ListParagraph"/>
              <w:numPr>
                <w:ilvl w:val="0"/>
                <w:numId w:val="5"/>
              </w:numPr>
              <w:rPr>
                <w:sz w:val="20"/>
                <w:szCs w:val="20"/>
              </w:rPr>
            </w:pPr>
          </w:p>
        </w:tc>
        <w:tc>
          <w:tcPr>
            <w:tcW w:w="3759" w:type="dxa"/>
          </w:tcPr>
          <w:p w14:paraId="426C6CA0" w14:textId="75573D39" w:rsidR="000D1C0D" w:rsidRPr="00ED6340" w:rsidRDefault="000D1C0D" w:rsidP="00EB329F">
            <w:pPr>
              <w:pStyle w:val="ListParagraph"/>
              <w:numPr>
                <w:ilvl w:val="0"/>
                <w:numId w:val="3"/>
              </w:numPr>
              <w:rPr>
                <w:sz w:val="20"/>
                <w:szCs w:val="20"/>
              </w:rPr>
            </w:pPr>
            <w:r w:rsidRPr="00ED6340">
              <w:rPr>
                <w:sz w:val="20"/>
                <w:szCs w:val="20"/>
              </w:rPr>
              <w:t xml:space="preserve">Common </w:t>
            </w:r>
            <w:r>
              <w:rPr>
                <w:sz w:val="20"/>
                <w:szCs w:val="20"/>
              </w:rPr>
              <w:t>t</w:t>
            </w:r>
            <w:r w:rsidRPr="00ED6340">
              <w:rPr>
                <w:sz w:val="20"/>
                <w:szCs w:val="20"/>
              </w:rPr>
              <w:t xml:space="preserve">rust </w:t>
            </w:r>
            <w:r>
              <w:rPr>
                <w:sz w:val="20"/>
                <w:szCs w:val="20"/>
              </w:rPr>
              <w:t>f</w:t>
            </w:r>
            <w:r w:rsidRPr="00ED6340">
              <w:rPr>
                <w:sz w:val="20"/>
                <w:szCs w:val="20"/>
              </w:rPr>
              <w:t xml:space="preserve">unds </w:t>
            </w:r>
          </w:p>
        </w:tc>
        <w:tc>
          <w:tcPr>
            <w:tcW w:w="2435" w:type="dxa"/>
            <w:vMerge/>
          </w:tcPr>
          <w:p w14:paraId="54901E59" w14:textId="77777777" w:rsidR="000D1C0D" w:rsidRPr="00CE792C" w:rsidRDefault="000D1C0D" w:rsidP="00EB329F">
            <w:pPr>
              <w:jc w:val="center"/>
              <w:rPr>
                <w:sz w:val="20"/>
                <w:szCs w:val="20"/>
              </w:rPr>
            </w:pPr>
          </w:p>
        </w:tc>
        <w:tc>
          <w:tcPr>
            <w:tcW w:w="2896" w:type="dxa"/>
            <w:vMerge/>
          </w:tcPr>
          <w:p w14:paraId="37E92F93" w14:textId="77777777" w:rsidR="000D1C0D" w:rsidRPr="00CE792C" w:rsidRDefault="000D1C0D" w:rsidP="00EB329F">
            <w:pPr>
              <w:rPr>
                <w:sz w:val="20"/>
                <w:szCs w:val="20"/>
              </w:rPr>
            </w:pPr>
          </w:p>
        </w:tc>
      </w:tr>
      <w:tr w:rsidR="000D1C0D" w:rsidRPr="001A67CD" w14:paraId="14F066E8" w14:textId="77777777" w:rsidTr="0056173B">
        <w:tc>
          <w:tcPr>
            <w:tcW w:w="1981" w:type="dxa"/>
            <w:vMerge/>
          </w:tcPr>
          <w:p w14:paraId="3F47AA5B" w14:textId="77777777" w:rsidR="000D1C0D" w:rsidRPr="00896877" w:rsidRDefault="000D1C0D">
            <w:pPr>
              <w:pStyle w:val="ListParagraph"/>
              <w:numPr>
                <w:ilvl w:val="0"/>
                <w:numId w:val="5"/>
              </w:numPr>
              <w:rPr>
                <w:sz w:val="20"/>
                <w:szCs w:val="20"/>
              </w:rPr>
            </w:pPr>
          </w:p>
        </w:tc>
        <w:tc>
          <w:tcPr>
            <w:tcW w:w="3759" w:type="dxa"/>
          </w:tcPr>
          <w:p w14:paraId="3B5F3F33" w14:textId="59B9AB91" w:rsidR="000D1C0D" w:rsidRPr="00ED6340" w:rsidRDefault="000D1C0D" w:rsidP="00EB329F">
            <w:pPr>
              <w:pStyle w:val="ListParagraph"/>
              <w:numPr>
                <w:ilvl w:val="0"/>
                <w:numId w:val="3"/>
              </w:numPr>
              <w:rPr>
                <w:sz w:val="20"/>
                <w:szCs w:val="20"/>
              </w:rPr>
            </w:pPr>
            <w:r w:rsidRPr="00ED6340">
              <w:rPr>
                <w:sz w:val="20"/>
                <w:szCs w:val="20"/>
              </w:rPr>
              <w:t>Index-</w:t>
            </w:r>
            <w:r>
              <w:rPr>
                <w:sz w:val="20"/>
                <w:szCs w:val="20"/>
              </w:rPr>
              <w:t>r</w:t>
            </w:r>
            <w:r w:rsidRPr="00ED6340">
              <w:rPr>
                <w:sz w:val="20"/>
                <w:szCs w:val="20"/>
              </w:rPr>
              <w:t xml:space="preserve">eplicating </w:t>
            </w:r>
            <w:r>
              <w:rPr>
                <w:sz w:val="20"/>
                <w:szCs w:val="20"/>
              </w:rPr>
              <w:t>v</w:t>
            </w:r>
            <w:r w:rsidRPr="00ED6340">
              <w:rPr>
                <w:sz w:val="20"/>
                <w:szCs w:val="20"/>
              </w:rPr>
              <w:t>ehicles (IRVs)</w:t>
            </w:r>
          </w:p>
        </w:tc>
        <w:tc>
          <w:tcPr>
            <w:tcW w:w="2435" w:type="dxa"/>
            <w:vMerge/>
          </w:tcPr>
          <w:p w14:paraId="50084EB5" w14:textId="77777777" w:rsidR="000D1C0D" w:rsidRPr="00CE792C" w:rsidRDefault="000D1C0D" w:rsidP="00EB329F">
            <w:pPr>
              <w:jc w:val="center"/>
              <w:rPr>
                <w:sz w:val="20"/>
                <w:szCs w:val="20"/>
              </w:rPr>
            </w:pPr>
          </w:p>
        </w:tc>
        <w:tc>
          <w:tcPr>
            <w:tcW w:w="2896" w:type="dxa"/>
            <w:vMerge/>
          </w:tcPr>
          <w:p w14:paraId="69C06505" w14:textId="77777777" w:rsidR="000D1C0D" w:rsidRPr="00CE792C" w:rsidRDefault="000D1C0D" w:rsidP="00EB329F">
            <w:pPr>
              <w:rPr>
                <w:sz w:val="20"/>
                <w:szCs w:val="20"/>
              </w:rPr>
            </w:pPr>
          </w:p>
        </w:tc>
      </w:tr>
      <w:tr w:rsidR="000D1C0D" w:rsidRPr="001A67CD" w14:paraId="3B6CFA44" w14:textId="77777777" w:rsidTr="0056173B">
        <w:tc>
          <w:tcPr>
            <w:tcW w:w="1981" w:type="dxa"/>
            <w:vMerge/>
          </w:tcPr>
          <w:p w14:paraId="65A88FF2" w14:textId="77777777" w:rsidR="000D1C0D" w:rsidRPr="00896877" w:rsidRDefault="000D1C0D">
            <w:pPr>
              <w:pStyle w:val="ListParagraph"/>
              <w:numPr>
                <w:ilvl w:val="0"/>
                <w:numId w:val="5"/>
              </w:numPr>
              <w:rPr>
                <w:sz w:val="20"/>
                <w:szCs w:val="20"/>
              </w:rPr>
            </w:pPr>
          </w:p>
        </w:tc>
        <w:tc>
          <w:tcPr>
            <w:tcW w:w="3759" w:type="dxa"/>
          </w:tcPr>
          <w:p w14:paraId="0EA72390" w14:textId="4C88E0C8" w:rsidR="000D1C0D" w:rsidRPr="00ED6340" w:rsidRDefault="000D1C0D" w:rsidP="00EB329F">
            <w:pPr>
              <w:pStyle w:val="ListParagraph"/>
              <w:numPr>
                <w:ilvl w:val="0"/>
                <w:numId w:val="3"/>
              </w:numPr>
              <w:rPr>
                <w:sz w:val="20"/>
                <w:szCs w:val="20"/>
              </w:rPr>
            </w:pPr>
            <w:r w:rsidRPr="003B26B6">
              <w:rPr>
                <w:sz w:val="20"/>
                <w:szCs w:val="20"/>
              </w:rPr>
              <w:t>Equity closed-end funds</w:t>
            </w:r>
            <w:r>
              <w:rPr>
                <w:sz w:val="20"/>
                <w:szCs w:val="20"/>
              </w:rPr>
              <w:t xml:space="preserve"> (CEFs)</w:t>
            </w:r>
          </w:p>
        </w:tc>
        <w:tc>
          <w:tcPr>
            <w:tcW w:w="2435" w:type="dxa"/>
            <w:vAlign w:val="center"/>
          </w:tcPr>
          <w:p w14:paraId="3D0C0D53" w14:textId="77777777" w:rsidR="000D1C0D" w:rsidRPr="00802EB0" w:rsidRDefault="000D1C0D" w:rsidP="00EB329F">
            <w:pPr>
              <w:jc w:val="center"/>
              <w:rPr>
                <w:b/>
                <w:sz w:val="20"/>
                <w:szCs w:val="20"/>
              </w:rPr>
            </w:pPr>
            <w:r w:rsidRPr="00802EB0">
              <w:rPr>
                <w:b/>
                <w:sz w:val="20"/>
                <w:szCs w:val="20"/>
              </w:rPr>
              <w:t>YES</w:t>
            </w:r>
          </w:p>
        </w:tc>
        <w:tc>
          <w:tcPr>
            <w:tcW w:w="2896" w:type="dxa"/>
            <w:vMerge/>
          </w:tcPr>
          <w:p w14:paraId="126803F8" w14:textId="77777777" w:rsidR="000D1C0D" w:rsidRPr="00CE792C" w:rsidRDefault="000D1C0D" w:rsidP="00EB329F">
            <w:pPr>
              <w:rPr>
                <w:sz w:val="20"/>
                <w:szCs w:val="20"/>
              </w:rPr>
            </w:pPr>
          </w:p>
        </w:tc>
      </w:tr>
      <w:tr w:rsidR="000D1C0D" w:rsidRPr="001A67CD" w14:paraId="306D750F" w14:textId="77777777" w:rsidTr="0056173B">
        <w:tc>
          <w:tcPr>
            <w:tcW w:w="1981" w:type="dxa"/>
            <w:vMerge/>
          </w:tcPr>
          <w:p w14:paraId="5EC9CCE1" w14:textId="77777777" w:rsidR="000D1C0D" w:rsidRPr="008A38E7" w:rsidRDefault="000D1C0D">
            <w:pPr>
              <w:pStyle w:val="ListParagraph"/>
              <w:numPr>
                <w:ilvl w:val="0"/>
                <w:numId w:val="5"/>
              </w:numPr>
              <w:rPr>
                <w:sz w:val="20"/>
              </w:rPr>
            </w:pPr>
          </w:p>
        </w:tc>
        <w:tc>
          <w:tcPr>
            <w:tcW w:w="3759" w:type="dxa"/>
          </w:tcPr>
          <w:p w14:paraId="7EC5CD32" w14:textId="4BF16D18" w:rsidR="000D1C0D" w:rsidRPr="00DA6EA8" w:rsidRDefault="000D1C0D" w:rsidP="000D1C0D">
            <w:pPr>
              <w:pStyle w:val="ListParagraph"/>
              <w:numPr>
                <w:ilvl w:val="0"/>
                <w:numId w:val="3"/>
              </w:numPr>
              <w:rPr>
                <w:sz w:val="20"/>
              </w:rPr>
            </w:pPr>
            <w:bookmarkStart w:id="2" w:name="_Hlk109389462"/>
            <w:r w:rsidRPr="00DA6EA8">
              <w:rPr>
                <w:sz w:val="20"/>
              </w:rPr>
              <w:t>Equity ETFs</w:t>
            </w:r>
            <w:bookmarkEnd w:id="2"/>
          </w:p>
        </w:tc>
        <w:tc>
          <w:tcPr>
            <w:tcW w:w="2435" w:type="dxa"/>
            <w:vAlign w:val="center"/>
          </w:tcPr>
          <w:p w14:paraId="055DE1DE" w14:textId="77777777" w:rsidR="000D1C0D" w:rsidRPr="00DA6EA8" w:rsidRDefault="000D1C0D" w:rsidP="000D1C0D">
            <w:pPr>
              <w:jc w:val="center"/>
              <w:rPr>
                <w:b/>
                <w:sz w:val="20"/>
              </w:rPr>
            </w:pPr>
            <w:r w:rsidRPr="00DA6EA8">
              <w:rPr>
                <w:b/>
                <w:sz w:val="20"/>
              </w:rPr>
              <w:t>YES</w:t>
            </w:r>
          </w:p>
        </w:tc>
        <w:tc>
          <w:tcPr>
            <w:tcW w:w="2896" w:type="dxa"/>
            <w:vMerge/>
          </w:tcPr>
          <w:p w14:paraId="7DAEA7EF" w14:textId="340AF0CC" w:rsidR="000D1C0D" w:rsidRPr="008A38E7" w:rsidRDefault="000D1C0D" w:rsidP="008A38E7">
            <w:pPr>
              <w:rPr>
                <w:sz w:val="20"/>
              </w:rPr>
            </w:pPr>
          </w:p>
        </w:tc>
      </w:tr>
      <w:tr w:rsidR="000D1C0D" w:rsidRPr="001A67CD" w14:paraId="4A371FB5" w14:textId="77777777" w:rsidTr="0056173B">
        <w:tc>
          <w:tcPr>
            <w:tcW w:w="1981" w:type="dxa"/>
            <w:vMerge/>
          </w:tcPr>
          <w:p w14:paraId="72309664" w14:textId="77777777" w:rsidR="000D1C0D" w:rsidRPr="008A38E7" w:rsidRDefault="000D1C0D">
            <w:pPr>
              <w:pStyle w:val="ListParagraph"/>
              <w:numPr>
                <w:ilvl w:val="0"/>
                <w:numId w:val="5"/>
              </w:numPr>
              <w:rPr>
                <w:sz w:val="20"/>
              </w:rPr>
            </w:pPr>
          </w:p>
        </w:tc>
        <w:tc>
          <w:tcPr>
            <w:tcW w:w="3759" w:type="dxa"/>
          </w:tcPr>
          <w:p w14:paraId="4D066147" w14:textId="2390BE9E" w:rsidR="000D1C0D" w:rsidRPr="00DA6EA8" w:rsidRDefault="000D1C0D" w:rsidP="000D1C0D">
            <w:pPr>
              <w:pStyle w:val="ListParagraph"/>
              <w:numPr>
                <w:ilvl w:val="0"/>
                <w:numId w:val="3"/>
              </w:numPr>
              <w:rPr>
                <w:sz w:val="20"/>
              </w:rPr>
            </w:pPr>
            <w:r w:rsidRPr="00DA6EA8">
              <w:rPr>
                <w:sz w:val="20"/>
              </w:rPr>
              <w:t>Platform-</w:t>
            </w:r>
            <w:r>
              <w:rPr>
                <w:sz w:val="20"/>
                <w:szCs w:val="20"/>
              </w:rPr>
              <w:t>traded funds</w:t>
            </w:r>
            <w:r w:rsidRPr="00DA6EA8">
              <w:rPr>
                <w:sz w:val="20"/>
              </w:rPr>
              <w:t xml:space="preserve"> (PTFs</w:t>
            </w:r>
            <w:r>
              <w:rPr>
                <w:sz w:val="20"/>
                <w:szCs w:val="20"/>
              </w:rPr>
              <w:t>)</w:t>
            </w:r>
          </w:p>
        </w:tc>
        <w:tc>
          <w:tcPr>
            <w:tcW w:w="2435" w:type="dxa"/>
            <w:vAlign w:val="center"/>
          </w:tcPr>
          <w:p w14:paraId="08CED0D1" w14:textId="77777777" w:rsidR="000D1C0D" w:rsidRPr="00DA6EA8" w:rsidRDefault="000D1C0D" w:rsidP="008A38E7">
            <w:pPr>
              <w:jc w:val="center"/>
              <w:rPr>
                <w:b/>
                <w:sz w:val="20"/>
              </w:rPr>
            </w:pPr>
            <w:r w:rsidRPr="00DA6EA8">
              <w:rPr>
                <w:b/>
                <w:sz w:val="20"/>
              </w:rPr>
              <w:t>YES</w:t>
            </w:r>
          </w:p>
        </w:tc>
        <w:tc>
          <w:tcPr>
            <w:tcW w:w="2896" w:type="dxa"/>
            <w:vMerge/>
          </w:tcPr>
          <w:p w14:paraId="012D843F" w14:textId="77777777" w:rsidR="000D1C0D" w:rsidRPr="008A38E7" w:rsidRDefault="000D1C0D" w:rsidP="008A38E7">
            <w:pPr>
              <w:rPr>
                <w:sz w:val="20"/>
              </w:rPr>
            </w:pPr>
          </w:p>
        </w:tc>
      </w:tr>
      <w:tr w:rsidR="00EB329F" w:rsidRPr="001A67CD" w14:paraId="643C3AD3" w14:textId="77777777" w:rsidTr="0056173B">
        <w:tc>
          <w:tcPr>
            <w:tcW w:w="1981" w:type="dxa"/>
          </w:tcPr>
          <w:p w14:paraId="3FC82CC9" w14:textId="23A3032A" w:rsidR="00EB329F" w:rsidRPr="00DA6EA8" w:rsidRDefault="00EB329F">
            <w:pPr>
              <w:pStyle w:val="ListParagraph"/>
              <w:numPr>
                <w:ilvl w:val="0"/>
                <w:numId w:val="5"/>
              </w:numPr>
              <w:rPr>
                <w:sz w:val="20"/>
              </w:rPr>
            </w:pPr>
            <w:r w:rsidRPr="00DA6EA8">
              <w:rPr>
                <w:sz w:val="20"/>
              </w:rPr>
              <w:t>Asset-Backed Securities (ABSs)</w:t>
            </w:r>
          </w:p>
        </w:tc>
        <w:tc>
          <w:tcPr>
            <w:tcW w:w="3759" w:type="dxa"/>
          </w:tcPr>
          <w:p w14:paraId="7D6AEBA4" w14:textId="3FBD36ED" w:rsidR="00EB329F" w:rsidRPr="008A38E7" w:rsidRDefault="00EB329F" w:rsidP="008A38E7">
            <w:pPr>
              <w:rPr>
                <w:sz w:val="20"/>
              </w:rPr>
            </w:pPr>
            <w:r w:rsidRPr="008A38E7">
              <w:rPr>
                <w:sz w:val="20"/>
              </w:rPr>
              <w:t>Includes mortgage-backed securities (MBSs), collateralized debt obligations (CDOs) and any other product that attracts a pool factor stemming from an iterative and ongoing return of principal</w:t>
            </w:r>
          </w:p>
        </w:tc>
        <w:tc>
          <w:tcPr>
            <w:tcW w:w="2435" w:type="dxa"/>
            <w:vAlign w:val="center"/>
          </w:tcPr>
          <w:p w14:paraId="09DEDD81" w14:textId="77777777" w:rsidR="00EB329F" w:rsidRPr="00DA6EA8" w:rsidRDefault="00EB329F" w:rsidP="008A38E7">
            <w:pPr>
              <w:jc w:val="center"/>
              <w:rPr>
                <w:b/>
                <w:sz w:val="20"/>
              </w:rPr>
            </w:pPr>
            <w:r w:rsidRPr="00DA6EA8">
              <w:rPr>
                <w:b/>
                <w:sz w:val="20"/>
              </w:rPr>
              <w:t>YES</w:t>
            </w:r>
          </w:p>
        </w:tc>
        <w:tc>
          <w:tcPr>
            <w:tcW w:w="2896" w:type="dxa"/>
          </w:tcPr>
          <w:p w14:paraId="45E45922" w14:textId="6B4661A5" w:rsidR="00EB329F" w:rsidRPr="008A38E7" w:rsidRDefault="00EB329F" w:rsidP="008A38E7">
            <w:pPr>
              <w:rPr>
                <w:sz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8A38E7">
              <w:rPr>
                <w:sz w:val="20"/>
              </w:rPr>
              <w:t xml:space="preserve">. Current ‘special terms’ trades will </w:t>
            </w:r>
            <w:r>
              <w:rPr>
                <w:sz w:val="20"/>
                <w:szCs w:val="20"/>
              </w:rPr>
              <w:t>stay</w:t>
            </w:r>
            <w:r w:rsidRPr="008A38E7">
              <w:rPr>
                <w:sz w:val="20"/>
              </w:rPr>
              <w:t xml:space="preserve"> unchanged.</w:t>
            </w:r>
          </w:p>
        </w:tc>
      </w:tr>
      <w:tr w:rsidR="00EB329F" w:rsidRPr="001A67CD" w14:paraId="5FD39731" w14:textId="77777777" w:rsidTr="0056173B">
        <w:tc>
          <w:tcPr>
            <w:tcW w:w="1981" w:type="dxa"/>
          </w:tcPr>
          <w:p w14:paraId="75A9A9CF" w14:textId="061CEB9C" w:rsidR="00EB329F" w:rsidRPr="00DA6EA8" w:rsidRDefault="00EB329F">
            <w:pPr>
              <w:pStyle w:val="ListParagraph"/>
              <w:numPr>
                <w:ilvl w:val="0"/>
                <w:numId w:val="5"/>
              </w:numPr>
              <w:rPr>
                <w:sz w:val="20"/>
              </w:rPr>
            </w:pPr>
            <w:r w:rsidRPr="00DA6EA8">
              <w:rPr>
                <w:sz w:val="20"/>
              </w:rPr>
              <w:lastRenderedPageBreak/>
              <w:t>Non-Cashable Guaranteed Investment Certificates (GICs)</w:t>
            </w:r>
          </w:p>
        </w:tc>
        <w:tc>
          <w:tcPr>
            <w:tcW w:w="3759" w:type="dxa"/>
          </w:tcPr>
          <w:p w14:paraId="08E45F64" w14:textId="1E876C1B" w:rsidR="00EB329F" w:rsidRPr="00DA6EA8" w:rsidRDefault="00EB329F">
            <w:pPr>
              <w:pStyle w:val="ListParagraph"/>
              <w:numPr>
                <w:ilvl w:val="0"/>
                <w:numId w:val="4"/>
              </w:numPr>
              <w:rPr>
                <w:sz w:val="20"/>
              </w:rPr>
            </w:pPr>
            <w:r w:rsidRPr="00DA6EA8">
              <w:rPr>
                <w:sz w:val="20"/>
              </w:rPr>
              <w:t>Any liquid (redeemable) GICs will appear under cash equivalents, and all non-liquid GICs are aligned in this sub-type under Fixed Income</w:t>
            </w:r>
          </w:p>
          <w:p w14:paraId="072454D2" w14:textId="77777777" w:rsidR="00EB329F" w:rsidRPr="00DA6EA8" w:rsidRDefault="00EB329F">
            <w:pPr>
              <w:pStyle w:val="ListParagraph"/>
              <w:numPr>
                <w:ilvl w:val="0"/>
                <w:numId w:val="4"/>
              </w:numPr>
              <w:rPr>
                <w:sz w:val="20"/>
              </w:rPr>
            </w:pPr>
            <w:r w:rsidRPr="00DA6EA8">
              <w:rPr>
                <w:sz w:val="20"/>
              </w:rPr>
              <w:t>Market-linked GICs</w:t>
            </w:r>
          </w:p>
        </w:tc>
        <w:tc>
          <w:tcPr>
            <w:tcW w:w="2435" w:type="dxa"/>
          </w:tcPr>
          <w:p w14:paraId="154981AF" w14:textId="77777777" w:rsidR="00D61470" w:rsidRDefault="00EB329F" w:rsidP="00EB329F">
            <w:pPr>
              <w:jc w:val="center"/>
              <w:rPr>
                <w:sz w:val="20"/>
              </w:rPr>
            </w:pPr>
            <w:r w:rsidRPr="00DA6EA8">
              <w:rPr>
                <w:sz w:val="20"/>
              </w:rPr>
              <w:t>NO</w:t>
            </w:r>
          </w:p>
          <w:p w14:paraId="3D3FAF1D" w14:textId="2C4E6324" w:rsidR="00EB329F" w:rsidRDefault="00EB329F" w:rsidP="00EB329F">
            <w:pPr>
              <w:jc w:val="center"/>
              <w:rPr>
                <w:sz w:val="20"/>
                <w:szCs w:val="20"/>
              </w:rPr>
            </w:pPr>
          </w:p>
          <w:p w14:paraId="4F2DC599" w14:textId="77777777" w:rsidR="00EB329F" w:rsidRDefault="00EB329F" w:rsidP="00EB329F">
            <w:pPr>
              <w:jc w:val="center"/>
              <w:rPr>
                <w:sz w:val="20"/>
                <w:szCs w:val="20"/>
              </w:rPr>
            </w:pPr>
          </w:p>
          <w:p w14:paraId="2A026529" w14:textId="77777777" w:rsidR="00EB329F" w:rsidRDefault="00EB329F" w:rsidP="00EB329F">
            <w:pPr>
              <w:jc w:val="center"/>
              <w:rPr>
                <w:sz w:val="20"/>
                <w:szCs w:val="20"/>
              </w:rPr>
            </w:pPr>
          </w:p>
          <w:p w14:paraId="2820F79A" w14:textId="7AA44769" w:rsidR="00EB329F" w:rsidRPr="00DA6EA8" w:rsidRDefault="00EB329F" w:rsidP="008A38E7">
            <w:pPr>
              <w:jc w:val="center"/>
              <w:rPr>
                <w:b/>
                <w:sz w:val="20"/>
              </w:rPr>
            </w:pPr>
            <w:r w:rsidRPr="00DA6EA8">
              <w:rPr>
                <w:b/>
                <w:sz w:val="20"/>
              </w:rPr>
              <w:t>YES</w:t>
            </w:r>
          </w:p>
        </w:tc>
        <w:tc>
          <w:tcPr>
            <w:tcW w:w="2896" w:type="dxa"/>
          </w:tcPr>
          <w:p w14:paraId="13C78F16" w14:textId="77B021FC" w:rsidR="00EB329F" w:rsidRDefault="00EB329F" w:rsidP="00EB329F">
            <w:pPr>
              <w:rPr>
                <w:sz w:val="20"/>
                <w:szCs w:val="20"/>
              </w:rPr>
            </w:pPr>
            <w:r w:rsidRPr="008A38E7">
              <w:rPr>
                <w:sz w:val="20"/>
              </w:rPr>
              <w:t xml:space="preserve">GIC instruments do not current trade on a </w:t>
            </w:r>
            <w:r>
              <w:rPr>
                <w:sz w:val="20"/>
                <w:szCs w:val="20"/>
              </w:rPr>
              <w:t>two</w:t>
            </w:r>
            <w:r w:rsidRPr="008A38E7">
              <w:rPr>
                <w:sz w:val="20"/>
              </w:rPr>
              <w:t>-day settlement basis and therefore are not affected by the transition to T+</w:t>
            </w:r>
            <w:r>
              <w:rPr>
                <w:sz w:val="20"/>
                <w:szCs w:val="20"/>
              </w:rPr>
              <w:t>1</w:t>
            </w:r>
            <w:r w:rsidRPr="00CE792C">
              <w:rPr>
                <w:sz w:val="20"/>
                <w:szCs w:val="20"/>
              </w:rPr>
              <w:t xml:space="preserve">. </w:t>
            </w:r>
          </w:p>
          <w:p w14:paraId="69C9050C" w14:textId="7A486C37" w:rsidR="00EB329F" w:rsidRPr="008A38E7" w:rsidRDefault="00EB329F" w:rsidP="008A38E7">
            <w:pPr>
              <w:rPr>
                <w:b/>
                <w:sz w:val="20"/>
              </w:rPr>
            </w:pPr>
            <w:r w:rsidRPr="008A38E7">
              <w:rPr>
                <w:b/>
                <w:sz w:val="20"/>
              </w:rPr>
              <w:t xml:space="preserve">Note: </w:t>
            </w:r>
            <w:r w:rsidRPr="00606EBC">
              <w:rPr>
                <w:b/>
                <w:sz w:val="20"/>
                <w:szCs w:val="20"/>
              </w:rPr>
              <w:t xml:space="preserve"> </w:t>
            </w:r>
            <w:r w:rsidRPr="008A38E7">
              <w:rPr>
                <w:sz w:val="20"/>
              </w:rPr>
              <w:t>Market-linked GICs are expected to settle on</w:t>
            </w:r>
            <w:r>
              <w:rPr>
                <w:sz w:val="20"/>
                <w:szCs w:val="20"/>
              </w:rPr>
              <w:t xml:space="preserve"> </w:t>
            </w:r>
            <w:r w:rsidRPr="00DA6EA8">
              <w:rPr>
                <w:sz w:val="20"/>
              </w:rPr>
              <w:t>T+</w:t>
            </w:r>
            <w:r>
              <w:rPr>
                <w:sz w:val="20"/>
                <w:szCs w:val="20"/>
              </w:rPr>
              <w:t>1</w:t>
            </w:r>
            <w:r w:rsidRPr="00DA6EA8">
              <w:rPr>
                <w:sz w:val="20"/>
              </w:rPr>
              <w:t xml:space="preserve"> if currently settling on</w:t>
            </w:r>
            <w:r>
              <w:rPr>
                <w:sz w:val="20"/>
                <w:szCs w:val="20"/>
              </w:rPr>
              <w:t xml:space="preserve"> </w:t>
            </w:r>
            <w:r w:rsidRPr="00DA6EA8">
              <w:rPr>
                <w:sz w:val="20"/>
              </w:rPr>
              <w:t>T+</w:t>
            </w:r>
            <w:r>
              <w:rPr>
                <w:sz w:val="20"/>
                <w:szCs w:val="20"/>
              </w:rPr>
              <w:t>2.</w:t>
            </w:r>
          </w:p>
        </w:tc>
      </w:tr>
      <w:tr w:rsidR="00EB329F" w:rsidRPr="001A67CD" w14:paraId="19E65C46" w14:textId="77777777" w:rsidTr="0056173B">
        <w:tc>
          <w:tcPr>
            <w:tcW w:w="1981" w:type="dxa"/>
          </w:tcPr>
          <w:p w14:paraId="535C19FA" w14:textId="793539B5" w:rsidR="00EB329F" w:rsidRPr="00DA6EA8" w:rsidRDefault="00D61470">
            <w:pPr>
              <w:pStyle w:val="ListParagraph"/>
              <w:numPr>
                <w:ilvl w:val="0"/>
                <w:numId w:val="5"/>
              </w:numPr>
              <w:rPr>
                <w:sz w:val="20"/>
              </w:rPr>
            </w:pPr>
            <w:r w:rsidRPr="00D61470">
              <w:rPr>
                <w:rFonts w:cs="Times New Roman"/>
                <w:sz w:val="20"/>
                <w:szCs w:val="24"/>
              </w:rPr>
              <w:t xml:space="preserve">Strips, Coupons </w:t>
            </w:r>
            <w:r w:rsidR="00EB329F" w:rsidRPr="00D61470">
              <w:rPr>
                <w:rFonts w:cs="Times New Roman"/>
                <w:sz w:val="20"/>
                <w:szCs w:val="24"/>
              </w:rPr>
              <w:t>and Residuals</w:t>
            </w:r>
          </w:p>
        </w:tc>
        <w:tc>
          <w:tcPr>
            <w:tcW w:w="3759" w:type="dxa"/>
          </w:tcPr>
          <w:p w14:paraId="0F5D6A3C" w14:textId="476C7B3B" w:rsidR="00EB329F" w:rsidRPr="00DA6EA8" w:rsidRDefault="00EB329F" w:rsidP="008A38E7">
            <w:pPr>
              <w:rPr>
                <w:sz w:val="20"/>
              </w:rPr>
            </w:pPr>
            <w:r w:rsidRPr="00DA6EA8">
              <w:rPr>
                <w:sz w:val="20"/>
              </w:rPr>
              <w:t>Any interest portion or non-principal-based portion of a bond that can be and is segregated from the initially offered bond product and sold separately</w:t>
            </w:r>
          </w:p>
        </w:tc>
        <w:tc>
          <w:tcPr>
            <w:tcW w:w="2435" w:type="dxa"/>
            <w:vAlign w:val="center"/>
          </w:tcPr>
          <w:p w14:paraId="0DC12E2E" w14:textId="77777777" w:rsidR="00EB329F" w:rsidRPr="00DA6EA8" w:rsidRDefault="00EB329F" w:rsidP="008A38E7">
            <w:pPr>
              <w:jc w:val="center"/>
              <w:rPr>
                <w:b/>
                <w:sz w:val="20"/>
              </w:rPr>
            </w:pPr>
            <w:r w:rsidRPr="00DA6EA8">
              <w:rPr>
                <w:b/>
                <w:sz w:val="20"/>
              </w:rPr>
              <w:t>YES</w:t>
            </w:r>
          </w:p>
        </w:tc>
        <w:tc>
          <w:tcPr>
            <w:tcW w:w="2896" w:type="dxa"/>
          </w:tcPr>
          <w:p w14:paraId="47155EE5" w14:textId="3A850F70" w:rsidR="00EB329F" w:rsidRPr="008A38E7" w:rsidRDefault="00EB329F" w:rsidP="008A38E7">
            <w:pPr>
              <w:rPr>
                <w:sz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8A38E7">
              <w:rPr>
                <w:sz w:val="20"/>
              </w:rPr>
              <w:t xml:space="preserve">. Current ‘special terms’ trades will </w:t>
            </w:r>
            <w:r>
              <w:rPr>
                <w:sz w:val="20"/>
                <w:szCs w:val="20"/>
              </w:rPr>
              <w:t>stay</w:t>
            </w:r>
            <w:r w:rsidRPr="008A38E7">
              <w:rPr>
                <w:sz w:val="20"/>
              </w:rPr>
              <w:t xml:space="preserve"> unchanged.</w:t>
            </w:r>
          </w:p>
        </w:tc>
      </w:tr>
      <w:tr w:rsidR="00EB329F" w:rsidRPr="001A67CD" w14:paraId="0277CD1F" w14:textId="77777777" w:rsidTr="0056173B">
        <w:tc>
          <w:tcPr>
            <w:tcW w:w="1981" w:type="dxa"/>
          </w:tcPr>
          <w:p w14:paraId="356E9E2E" w14:textId="1DAE16BA" w:rsidR="00EB329F" w:rsidRPr="008A38E7" w:rsidRDefault="00EB329F">
            <w:pPr>
              <w:pStyle w:val="ListParagraph"/>
              <w:numPr>
                <w:ilvl w:val="0"/>
                <w:numId w:val="5"/>
              </w:numPr>
              <w:rPr>
                <w:sz w:val="20"/>
              </w:rPr>
            </w:pPr>
            <w:r w:rsidRPr="008A38E7">
              <w:rPr>
                <w:sz w:val="20"/>
              </w:rPr>
              <w:t>Other Fixed Income Products</w:t>
            </w:r>
          </w:p>
        </w:tc>
        <w:tc>
          <w:tcPr>
            <w:tcW w:w="3759" w:type="dxa"/>
          </w:tcPr>
          <w:p w14:paraId="6FB71FC1" w14:textId="3926E3C9" w:rsidR="00EB329F" w:rsidRPr="008A38E7" w:rsidRDefault="00EB329F" w:rsidP="00F6113E">
            <w:pPr>
              <w:rPr>
                <w:sz w:val="20"/>
              </w:rPr>
            </w:pPr>
            <w:r>
              <w:rPr>
                <w:i/>
                <w:sz w:val="20"/>
                <w:szCs w:val="20"/>
              </w:rPr>
              <w:t>Placeholder f</w:t>
            </w:r>
            <w:r w:rsidRPr="00716159">
              <w:rPr>
                <w:i/>
                <w:sz w:val="20"/>
                <w:szCs w:val="20"/>
              </w:rPr>
              <w:t>or</w:t>
            </w:r>
            <w:r w:rsidRPr="00F6113E">
              <w:rPr>
                <w:i/>
                <w:sz w:val="20"/>
              </w:rPr>
              <w:t xml:space="preserve"> any new or unidentified products</w:t>
            </w:r>
          </w:p>
        </w:tc>
        <w:tc>
          <w:tcPr>
            <w:tcW w:w="2435" w:type="dxa"/>
          </w:tcPr>
          <w:p w14:paraId="5F4A0F2B" w14:textId="77777777" w:rsidR="00EB329F" w:rsidRPr="008A38E7" w:rsidRDefault="00EB329F" w:rsidP="008A38E7">
            <w:pPr>
              <w:jc w:val="center"/>
              <w:rPr>
                <w:sz w:val="20"/>
              </w:rPr>
            </w:pPr>
          </w:p>
        </w:tc>
        <w:tc>
          <w:tcPr>
            <w:tcW w:w="2896" w:type="dxa"/>
          </w:tcPr>
          <w:p w14:paraId="3734DFBB" w14:textId="77777777" w:rsidR="00EB329F" w:rsidRPr="008A38E7" w:rsidRDefault="00EB329F" w:rsidP="008A38E7">
            <w:pPr>
              <w:rPr>
                <w:sz w:val="20"/>
              </w:rPr>
            </w:pPr>
          </w:p>
        </w:tc>
      </w:tr>
      <w:tr w:rsidR="00EB329F" w:rsidRPr="001A67CD" w14:paraId="5A9E3DEF" w14:textId="77777777" w:rsidTr="0056173B">
        <w:tc>
          <w:tcPr>
            <w:tcW w:w="11071" w:type="dxa"/>
            <w:gridSpan w:val="4"/>
          </w:tcPr>
          <w:p w14:paraId="4904DCFA" w14:textId="77777777" w:rsidR="00EB329F" w:rsidRPr="008A38E7" w:rsidRDefault="00EB329F" w:rsidP="008A38E7">
            <w:pPr>
              <w:keepNext/>
              <w:keepLines/>
              <w:jc w:val="center"/>
              <w:rPr>
                <w:b/>
                <w:sz w:val="24"/>
              </w:rPr>
            </w:pPr>
            <w:r w:rsidRPr="00DA6EA8">
              <w:rPr>
                <w:b/>
                <w:color w:val="FF0000"/>
                <w:sz w:val="24"/>
              </w:rPr>
              <w:t>Preferred Shares</w:t>
            </w:r>
          </w:p>
        </w:tc>
      </w:tr>
      <w:tr w:rsidR="00EB329F" w:rsidRPr="001A67CD" w14:paraId="5BF0F127" w14:textId="77777777" w:rsidTr="0056173B">
        <w:trPr>
          <w:trHeight w:val="485"/>
        </w:trPr>
        <w:tc>
          <w:tcPr>
            <w:tcW w:w="1981" w:type="dxa"/>
          </w:tcPr>
          <w:p w14:paraId="03BAE5E0" w14:textId="3AAAABA5" w:rsidR="00EB329F" w:rsidRPr="00DA6EA8" w:rsidRDefault="00EB329F">
            <w:pPr>
              <w:pStyle w:val="ListParagraph"/>
              <w:numPr>
                <w:ilvl w:val="0"/>
                <w:numId w:val="5"/>
              </w:numPr>
              <w:rPr>
                <w:sz w:val="20"/>
              </w:rPr>
            </w:pPr>
            <w:r w:rsidRPr="00DA6EA8">
              <w:rPr>
                <w:sz w:val="20"/>
              </w:rPr>
              <w:t>Preferred Shares</w:t>
            </w:r>
          </w:p>
        </w:tc>
        <w:tc>
          <w:tcPr>
            <w:tcW w:w="3759" w:type="dxa"/>
          </w:tcPr>
          <w:p w14:paraId="34117301" w14:textId="326F227B" w:rsidR="00EB329F" w:rsidRPr="00DA6EA8" w:rsidRDefault="00EB329F" w:rsidP="008A38E7">
            <w:pPr>
              <w:rPr>
                <w:sz w:val="20"/>
              </w:rPr>
            </w:pPr>
            <w:r w:rsidRPr="00DA6EA8">
              <w:rPr>
                <w:sz w:val="20"/>
              </w:rPr>
              <w:t xml:space="preserve">Company stock with dividends that are paid to shareholders before common stock dividends are paid out. In the event of a company bankruptcy, preferred stock shareholders have a right to be paid company assets first. Preference shares typically pay a fixed dividend, whereas common stocks do not. </w:t>
            </w:r>
            <w:r>
              <w:rPr>
                <w:sz w:val="20"/>
                <w:szCs w:val="20"/>
              </w:rPr>
              <w:t>U</w:t>
            </w:r>
            <w:r w:rsidRPr="003B26B6">
              <w:rPr>
                <w:sz w:val="20"/>
                <w:szCs w:val="20"/>
              </w:rPr>
              <w:t>nlike</w:t>
            </w:r>
            <w:r w:rsidRPr="00DA6EA8">
              <w:rPr>
                <w:sz w:val="20"/>
              </w:rPr>
              <w:t xml:space="preserve"> common shareholders, </w:t>
            </w:r>
            <w:r w:rsidRPr="003B26B6">
              <w:rPr>
                <w:sz w:val="20"/>
                <w:szCs w:val="20"/>
              </w:rPr>
              <w:t>prefer</w:t>
            </w:r>
            <w:r>
              <w:rPr>
                <w:sz w:val="20"/>
                <w:szCs w:val="20"/>
              </w:rPr>
              <w:t>red</w:t>
            </w:r>
            <w:r w:rsidRPr="00DA6EA8">
              <w:rPr>
                <w:sz w:val="20"/>
              </w:rPr>
              <w:t xml:space="preserve"> shareholders usually do not have voting rights.</w:t>
            </w:r>
          </w:p>
        </w:tc>
        <w:tc>
          <w:tcPr>
            <w:tcW w:w="2435" w:type="dxa"/>
            <w:vAlign w:val="center"/>
          </w:tcPr>
          <w:p w14:paraId="1C75C2C9" w14:textId="77777777" w:rsidR="00EB329F" w:rsidRPr="00DA6EA8" w:rsidRDefault="00EB329F" w:rsidP="008A38E7">
            <w:pPr>
              <w:jc w:val="center"/>
              <w:rPr>
                <w:b/>
                <w:sz w:val="20"/>
              </w:rPr>
            </w:pPr>
            <w:r w:rsidRPr="00DA6EA8">
              <w:rPr>
                <w:b/>
                <w:sz w:val="20"/>
              </w:rPr>
              <w:t>YES</w:t>
            </w:r>
          </w:p>
        </w:tc>
        <w:tc>
          <w:tcPr>
            <w:tcW w:w="2896" w:type="dxa"/>
            <w:vAlign w:val="center"/>
          </w:tcPr>
          <w:p w14:paraId="6CBE4F31" w14:textId="155D28FE" w:rsidR="00EB329F" w:rsidRPr="008A38E7" w:rsidRDefault="00EB329F" w:rsidP="008A38E7">
            <w:pPr>
              <w:rPr>
                <w:sz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8A38E7">
              <w:rPr>
                <w:sz w:val="20"/>
              </w:rPr>
              <w:t xml:space="preserve">. Current ‘special terms’ trades will </w:t>
            </w:r>
            <w:r>
              <w:rPr>
                <w:sz w:val="20"/>
                <w:szCs w:val="20"/>
              </w:rPr>
              <w:t>stay</w:t>
            </w:r>
            <w:r w:rsidRPr="008A38E7">
              <w:rPr>
                <w:sz w:val="20"/>
              </w:rPr>
              <w:t xml:space="preserve"> unchanged.</w:t>
            </w:r>
          </w:p>
        </w:tc>
      </w:tr>
      <w:tr w:rsidR="00EB329F" w:rsidRPr="001A67CD" w14:paraId="36B764F2" w14:textId="77777777" w:rsidTr="0056173B">
        <w:tc>
          <w:tcPr>
            <w:tcW w:w="1981" w:type="dxa"/>
          </w:tcPr>
          <w:p w14:paraId="456043CD" w14:textId="77777777" w:rsidR="00EB329F" w:rsidRPr="00896877" w:rsidRDefault="00EB329F">
            <w:pPr>
              <w:pStyle w:val="ListParagraph"/>
              <w:numPr>
                <w:ilvl w:val="0"/>
                <w:numId w:val="5"/>
              </w:numPr>
              <w:rPr>
                <w:sz w:val="20"/>
                <w:szCs w:val="20"/>
              </w:rPr>
            </w:pPr>
            <w:r w:rsidRPr="00896877">
              <w:rPr>
                <w:sz w:val="20"/>
                <w:szCs w:val="20"/>
              </w:rPr>
              <w:t>Convertible Preferred Shares</w:t>
            </w:r>
          </w:p>
        </w:tc>
        <w:tc>
          <w:tcPr>
            <w:tcW w:w="3759" w:type="dxa"/>
          </w:tcPr>
          <w:p w14:paraId="1915F920" w14:textId="2190FD18" w:rsidR="00EB329F" w:rsidRPr="001A67CD" w:rsidRDefault="00EB329F" w:rsidP="00EB329F">
            <w:pPr>
              <w:rPr>
                <w:sz w:val="20"/>
                <w:szCs w:val="20"/>
              </w:rPr>
            </w:pPr>
            <w:r w:rsidRPr="003B26B6">
              <w:rPr>
                <w:sz w:val="20"/>
                <w:szCs w:val="20"/>
              </w:rPr>
              <w:t>A preferred share with a convertible feature should remain a preferred share sub-type until (and if) such a time as conversion is exercised, at which point the resulting holding will appear under the proper sub-type for the security now held after conversion</w:t>
            </w:r>
            <w:r>
              <w:rPr>
                <w:sz w:val="20"/>
                <w:szCs w:val="20"/>
              </w:rPr>
              <w:t>.</w:t>
            </w:r>
          </w:p>
        </w:tc>
        <w:tc>
          <w:tcPr>
            <w:tcW w:w="2435" w:type="dxa"/>
            <w:vAlign w:val="center"/>
          </w:tcPr>
          <w:p w14:paraId="7B02F871" w14:textId="77777777" w:rsidR="00EB329F" w:rsidRPr="00CA5CDE" w:rsidRDefault="00EB329F" w:rsidP="00EB329F">
            <w:pPr>
              <w:jc w:val="center"/>
              <w:rPr>
                <w:b/>
                <w:sz w:val="20"/>
                <w:szCs w:val="20"/>
              </w:rPr>
            </w:pPr>
            <w:r w:rsidRPr="00CA5CDE">
              <w:rPr>
                <w:b/>
                <w:sz w:val="20"/>
                <w:szCs w:val="20"/>
              </w:rPr>
              <w:t>YES</w:t>
            </w:r>
          </w:p>
        </w:tc>
        <w:tc>
          <w:tcPr>
            <w:tcW w:w="2896" w:type="dxa"/>
            <w:vAlign w:val="center"/>
          </w:tcPr>
          <w:p w14:paraId="3C02139E" w14:textId="61466CC4" w:rsidR="00EB329F" w:rsidRPr="00CE792C" w:rsidRDefault="00EB329F" w:rsidP="00EB329F">
            <w:pPr>
              <w:rPr>
                <w:sz w:val="20"/>
                <w:szCs w:val="20"/>
              </w:rPr>
            </w:pPr>
            <w:r w:rsidRPr="00CE792C">
              <w:rPr>
                <w:sz w:val="20"/>
                <w:szCs w:val="20"/>
              </w:rPr>
              <w:t>Any transaction that currently trades on a T+</w:t>
            </w:r>
            <w:r w:rsidR="003D3DA3">
              <w:rPr>
                <w:sz w:val="20"/>
                <w:szCs w:val="20"/>
              </w:rPr>
              <w:t>2</w:t>
            </w:r>
            <w:r w:rsidRPr="00CE792C">
              <w:rPr>
                <w:sz w:val="20"/>
                <w:szCs w:val="20"/>
              </w:rPr>
              <w:t xml:space="preserve"> basis will transition to T+</w:t>
            </w:r>
            <w:r w:rsidR="003D3DA3">
              <w:rPr>
                <w:sz w:val="20"/>
                <w:szCs w:val="20"/>
              </w:rPr>
              <w:t>1</w:t>
            </w:r>
            <w:r w:rsidRPr="00CE792C">
              <w:rPr>
                <w:sz w:val="20"/>
                <w:szCs w:val="20"/>
              </w:rPr>
              <w:t xml:space="preserve">. Current ‘special terms’ trades will </w:t>
            </w:r>
            <w:r>
              <w:rPr>
                <w:sz w:val="20"/>
                <w:szCs w:val="20"/>
              </w:rPr>
              <w:t>stay</w:t>
            </w:r>
            <w:r w:rsidRPr="00CE792C">
              <w:rPr>
                <w:sz w:val="20"/>
                <w:szCs w:val="20"/>
              </w:rPr>
              <w:t xml:space="preserve"> unchanged.</w:t>
            </w:r>
          </w:p>
        </w:tc>
      </w:tr>
      <w:tr w:rsidR="00EB329F" w:rsidRPr="001A67CD" w14:paraId="3EA4D954" w14:textId="77777777" w:rsidTr="0056173B">
        <w:tc>
          <w:tcPr>
            <w:tcW w:w="11071" w:type="dxa"/>
            <w:gridSpan w:val="4"/>
          </w:tcPr>
          <w:p w14:paraId="34A87BDF" w14:textId="77777777" w:rsidR="00EB329F" w:rsidRPr="008A38E7" w:rsidRDefault="00EB329F" w:rsidP="008A38E7">
            <w:pPr>
              <w:jc w:val="center"/>
              <w:rPr>
                <w:sz w:val="20"/>
              </w:rPr>
            </w:pPr>
            <w:r w:rsidRPr="00DA6EA8">
              <w:rPr>
                <w:b/>
                <w:color w:val="FF0000"/>
                <w:sz w:val="24"/>
              </w:rPr>
              <w:t>Equity</w:t>
            </w:r>
          </w:p>
        </w:tc>
      </w:tr>
      <w:tr w:rsidR="00EB329F" w:rsidRPr="001A67CD" w14:paraId="79E95471" w14:textId="77777777" w:rsidTr="0056173B">
        <w:tc>
          <w:tcPr>
            <w:tcW w:w="1981" w:type="dxa"/>
          </w:tcPr>
          <w:p w14:paraId="553231A6" w14:textId="77777777" w:rsidR="00EB329F" w:rsidRPr="00DA6EA8" w:rsidRDefault="00EB329F">
            <w:pPr>
              <w:pStyle w:val="ListParagraph"/>
              <w:numPr>
                <w:ilvl w:val="0"/>
                <w:numId w:val="5"/>
              </w:numPr>
              <w:rPr>
                <w:sz w:val="20"/>
              </w:rPr>
            </w:pPr>
            <w:r w:rsidRPr="00DA6EA8">
              <w:rPr>
                <w:sz w:val="20"/>
              </w:rPr>
              <w:t>Common Shares</w:t>
            </w:r>
          </w:p>
        </w:tc>
        <w:tc>
          <w:tcPr>
            <w:tcW w:w="3759" w:type="dxa"/>
          </w:tcPr>
          <w:p w14:paraId="01A787BF" w14:textId="31FA6706" w:rsidR="00EB329F" w:rsidRPr="00DA6EA8" w:rsidRDefault="00EB329F" w:rsidP="008A38E7">
            <w:pPr>
              <w:rPr>
                <w:sz w:val="20"/>
              </w:rPr>
            </w:pPr>
            <w:r w:rsidRPr="00DA6EA8">
              <w:rPr>
                <w:sz w:val="20"/>
              </w:rPr>
              <w:t>Industry standard common stock where the unit represents a percent ownership in a corporation</w:t>
            </w:r>
          </w:p>
        </w:tc>
        <w:tc>
          <w:tcPr>
            <w:tcW w:w="2435" w:type="dxa"/>
            <w:vAlign w:val="center"/>
          </w:tcPr>
          <w:p w14:paraId="130F6715" w14:textId="77777777" w:rsidR="00EB329F" w:rsidRPr="00DA6EA8" w:rsidRDefault="00EB329F" w:rsidP="008A38E7">
            <w:pPr>
              <w:jc w:val="center"/>
              <w:rPr>
                <w:b/>
                <w:sz w:val="20"/>
              </w:rPr>
            </w:pPr>
            <w:r w:rsidRPr="00DA6EA8">
              <w:rPr>
                <w:b/>
                <w:sz w:val="20"/>
              </w:rPr>
              <w:t>YES</w:t>
            </w:r>
          </w:p>
        </w:tc>
        <w:tc>
          <w:tcPr>
            <w:tcW w:w="2896" w:type="dxa"/>
          </w:tcPr>
          <w:p w14:paraId="50F2490D" w14:textId="7B00C03B" w:rsidR="00EB329F" w:rsidRPr="008A38E7" w:rsidRDefault="00EB329F" w:rsidP="008A38E7">
            <w:pPr>
              <w:rPr>
                <w:sz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8A38E7">
              <w:rPr>
                <w:sz w:val="20"/>
              </w:rPr>
              <w:t xml:space="preserve">. Current ‘special terms’ trades will </w:t>
            </w:r>
            <w:r>
              <w:rPr>
                <w:sz w:val="20"/>
                <w:szCs w:val="20"/>
              </w:rPr>
              <w:t>stay</w:t>
            </w:r>
            <w:r w:rsidRPr="008A38E7">
              <w:rPr>
                <w:sz w:val="20"/>
              </w:rPr>
              <w:t xml:space="preserve"> unchanged.</w:t>
            </w:r>
          </w:p>
        </w:tc>
      </w:tr>
      <w:tr w:rsidR="00402928" w:rsidRPr="001A67CD" w14:paraId="78CB7BEF" w14:textId="77777777" w:rsidTr="0056173B">
        <w:tc>
          <w:tcPr>
            <w:tcW w:w="1981" w:type="dxa"/>
            <w:vMerge w:val="restart"/>
          </w:tcPr>
          <w:p w14:paraId="07597DF9" w14:textId="77777777" w:rsidR="00EB329F" w:rsidRPr="00DA6EA8" w:rsidRDefault="00EB329F">
            <w:pPr>
              <w:pStyle w:val="ListParagraph"/>
              <w:numPr>
                <w:ilvl w:val="0"/>
                <w:numId w:val="5"/>
              </w:numPr>
              <w:rPr>
                <w:sz w:val="20"/>
              </w:rPr>
            </w:pPr>
            <w:r w:rsidRPr="00DA6EA8">
              <w:rPr>
                <w:sz w:val="20"/>
              </w:rPr>
              <w:t>Equity Funds</w:t>
            </w:r>
          </w:p>
        </w:tc>
        <w:tc>
          <w:tcPr>
            <w:tcW w:w="3759" w:type="dxa"/>
          </w:tcPr>
          <w:p w14:paraId="0F4263F2" w14:textId="77777777" w:rsidR="00EB329F" w:rsidRPr="00DA6EA8" w:rsidRDefault="00EB329F" w:rsidP="008A38E7">
            <w:pPr>
              <w:rPr>
                <w:sz w:val="20"/>
              </w:rPr>
            </w:pPr>
            <w:r w:rsidRPr="00DA6EA8">
              <w:rPr>
                <w:sz w:val="20"/>
              </w:rPr>
              <w:t>Includes:</w:t>
            </w:r>
          </w:p>
        </w:tc>
        <w:tc>
          <w:tcPr>
            <w:tcW w:w="2435" w:type="dxa"/>
            <w:vMerge w:val="restart"/>
            <w:vAlign w:val="center"/>
          </w:tcPr>
          <w:p w14:paraId="0100EE05" w14:textId="66DB80B5" w:rsidR="00EB329F" w:rsidRPr="008A38E7" w:rsidRDefault="00EB329F" w:rsidP="008A38E7">
            <w:pPr>
              <w:jc w:val="center"/>
              <w:rPr>
                <w:b/>
                <w:sz w:val="20"/>
                <w:highlight w:val="yellow"/>
              </w:rPr>
            </w:pPr>
            <w:r>
              <w:rPr>
                <w:b/>
                <w:bCs/>
                <w:sz w:val="20"/>
                <w:szCs w:val="20"/>
                <w:highlight w:val="yellow"/>
              </w:rPr>
              <w:t>Under review by the mutual funds industry; s</w:t>
            </w:r>
            <w:r w:rsidRPr="007E27EB">
              <w:rPr>
                <w:b/>
                <w:bCs/>
                <w:sz w:val="20"/>
                <w:szCs w:val="20"/>
                <w:highlight w:val="yellow"/>
              </w:rPr>
              <w:t>ee separate Funds table below</w:t>
            </w:r>
          </w:p>
        </w:tc>
        <w:tc>
          <w:tcPr>
            <w:tcW w:w="2896" w:type="dxa"/>
            <w:vMerge w:val="restart"/>
            <w:vAlign w:val="center"/>
          </w:tcPr>
          <w:p w14:paraId="1BB7E4A6" w14:textId="0DE5818A" w:rsidR="00EB329F" w:rsidRPr="008A38E7" w:rsidRDefault="00EB329F" w:rsidP="008A38E7">
            <w:pPr>
              <w:rPr>
                <w:b/>
                <w:sz w:val="20"/>
                <w:highlight w:val="yellow"/>
              </w:rPr>
            </w:pPr>
            <w:r w:rsidRPr="008A38E7">
              <w:rPr>
                <w:b/>
                <w:sz w:val="20"/>
                <w:highlight w:val="yellow"/>
              </w:rPr>
              <w:t xml:space="preserve">See </w:t>
            </w:r>
            <w:r w:rsidRPr="007E27EB">
              <w:rPr>
                <w:b/>
                <w:bCs/>
                <w:sz w:val="20"/>
                <w:szCs w:val="20"/>
                <w:highlight w:val="yellow"/>
              </w:rPr>
              <w:t>separate Funds table below</w:t>
            </w:r>
          </w:p>
        </w:tc>
      </w:tr>
      <w:tr w:rsidR="00237D22" w:rsidRPr="001A67CD" w14:paraId="35A9D270" w14:textId="77777777" w:rsidTr="0056173B">
        <w:trPr>
          <w:trHeight w:val="206"/>
        </w:trPr>
        <w:tc>
          <w:tcPr>
            <w:tcW w:w="1981" w:type="dxa"/>
            <w:vMerge/>
          </w:tcPr>
          <w:p w14:paraId="315E7E0B" w14:textId="77777777" w:rsidR="00EB329F" w:rsidRPr="00DA6EA8" w:rsidRDefault="00EB329F">
            <w:pPr>
              <w:pStyle w:val="ListParagraph"/>
              <w:numPr>
                <w:ilvl w:val="0"/>
                <w:numId w:val="5"/>
              </w:numPr>
              <w:rPr>
                <w:sz w:val="20"/>
              </w:rPr>
            </w:pPr>
          </w:p>
        </w:tc>
        <w:tc>
          <w:tcPr>
            <w:tcW w:w="3759" w:type="dxa"/>
          </w:tcPr>
          <w:p w14:paraId="111631C2" w14:textId="3314E0A2" w:rsidR="00EB329F" w:rsidRPr="00DA6EA8" w:rsidRDefault="00EB329F" w:rsidP="008A38E7">
            <w:pPr>
              <w:pStyle w:val="ListParagraph"/>
              <w:numPr>
                <w:ilvl w:val="0"/>
                <w:numId w:val="3"/>
              </w:numPr>
              <w:rPr>
                <w:sz w:val="20"/>
              </w:rPr>
            </w:pPr>
            <w:r w:rsidRPr="00DA6EA8">
              <w:rPr>
                <w:sz w:val="20"/>
              </w:rPr>
              <w:t xml:space="preserve">Equity </w:t>
            </w:r>
            <w:r>
              <w:rPr>
                <w:sz w:val="20"/>
                <w:szCs w:val="20"/>
              </w:rPr>
              <w:t>m</w:t>
            </w:r>
            <w:r w:rsidRPr="003B26B6">
              <w:rPr>
                <w:sz w:val="20"/>
                <w:szCs w:val="20"/>
              </w:rPr>
              <w:t xml:space="preserve">utual </w:t>
            </w:r>
            <w:r>
              <w:rPr>
                <w:sz w:val="20"/>
                <w:szCs w:val="20"/>
              </w:rPr>
              <w:t>f</w:t>
            </w:r>
            <w:r w:rsidRPr="003B26B6">
              <w:rPr>
                <w:sz w:val="20"/>
                <w:szCs w:val="20"/>
              </w:rPr>
              <w:t>unds</w:t>
            </w:r>
          </w:p>
        </w:tc>
        <w:tc>
          <w:tcPr>
            <w:tcW w:w="2435" w:type="dxa"/>
            <w:vMerge/>
            <w:vAlign w:val="center"/>
          </w:tcPr>
          <w:p w14:paraId="1B7F9713" w14:textId="77777777" w:rsidR="00EB329F" w:rsidRPr="00DA6EA8" w:rsidRDefault="00EB329F" w:rsidP="008A38E7">
            <w:pPr>
              <w:jc w:val="center"/>
              <w:rPr>
                <w:sz w:val="20"/>
              </w:rPr>
            </w:pPr>
          </w:p>
        </w:tc>
        <w:tc>
          <w:tcPr>
            <w:tcW w:w="2896" w:type="dxa"/>
            <w:vMerge/>
          </w:tcPr>
          <w:p w14:paraId="08D38534" w14:textId="77777777" w:rsidR="00EB329F" w:rsidRPr="00DA6EA8" w:rsidRDefault="00EB329F" w:rsidP="008A38E7">
            <w:pPr>
              <w:rPr>
                <w:sz w:val="20"/>
              </w:rPr>
            </w:pPr>
          </w:p>
        </w:tc>
      </w:tr>
      <w:tr w:rsidR="00237D22" w:rsidRPr="001A67CD" w14:paraId="281EAE32" w14:textId="77777777" w:rsidTr="0056173B">
        <w:tc>
          <w:tcPr>
            <w:tcW w:w="1981" w:type="dxa"/>
            <w:vMerge/>
          </w:tcPr>
          <w:p w14:paraId="4EFAF584" w14:textId="77777777" w:rsidR="00EB329F" w:rsidRPr="00DA6EA8" w:rsidRDefault="00EB329F">
            <w:pPr>
              <w:pStyle w:val="ListParagraph"/>
              <w:numPr>
                <w:ilvl w:val="0"/>
                <w:numId w:val="5"/>
              </w:numPr>
              <w:rPr>
                <w:sz w:val="20"/>
              </w:rPr>
            </w:pPr>
          </w:p>
        </w:tc>
        <w:tc>
          <w:tcPr>
            <w:tcW w:w="3759" w:type="dxa"/>
          </w:tcPr>
          <w:p w14:paraId="0CA9B933" w14:textId="4A3390A0" w:rsidR="00EB329F" w:rsidRPr="008A38E7" w:rsidRDefault="00EB329F" w:rsidP="008A38E7">
            <w:pPr>
              <w:pStyle w:val="ListParagraph"/>
              <w:numPr>
                <w:ilvl w:val="0"/>
                <w:numId w:val="3"/>
              </w:numPr>
              <w:rPr>
                <w:sz w:val="20"/>
              </w:rPr>
            </w:pPr>
            <w:r w:rsidRPr="008A38E7">
              <w:rPr>
                <w:sz w:val="20"/>
              </w:rPr>
              <w:t xml:space="preserve">Equity </w:t>
            </w:r>
            <w:r>
              <w:rPr>
                <w:sz w:val="20"/>
                <w:szCs w:val="20"/>
              </w:rPr>
              <w:t>i</w:t>
            </w:r>
            <w:r w:rsidRPr="003B26B6">
              <w:rPr>
                <w:sz w:val="20"/>
                <w:szCs w:val="20"/>
              </w:rPr>
              <w:t>ndex-</w:t>
            </w:r>
            <w:r>
              <w:rPr>
                <w:sz w:val="20"/>
                <w:szCs w:val="20"/>
              </w:rPr>
              <w:t>r</w:t>
            </w:r>
            <w:r w:rsidRPr="003B26B6">
              <w:rPr>
                <w:sz w:val="20"/>
                <w:szCs w:val="20"/>
              </w:rPr>
              <w:t xml:space="preserve">eplicating </w:t>
            </w:r>
            <w:r>
              <w:rPr>
                <w:sz w:val="20"/>
                <w:szCs w:val="20"/>
              </w:rPr>
              <w:t>v</w:t>
            </w:r>
            <w:r w:rsidRPr="003B26B6">
              <w:rPr>
                <w:sz w:val="20"/>
                <w:szCs w:val="20"/>
              </w:rPr>
              <w:t>ehicles</w:t>
            </w:r>
            <w:r w:rsidRPr="008A38E7">
              <w:rPr>
                <w:sz w:val="20"/>
              </w:rPr>
              <w:t xml:space="preserve"> (IRVs)</w:t>
            </w:r>
          </w:p>
        </w:tc>
        <w:tc>
          <w:tcPr>
            <w:tcW w:w="2435" w:type="dxa"/>
            <w:vMerge/>
            <w:vAlign w:val="center"/>
          </w:tcPr>
          <w:p w14:paraId="663290BF" w14:textId="77777777" w:rsidR="00EB329F" w:rsidRPr="008A38E7" w:rsidRDefault="00EB329F" w:rsidP="008A38E7">
            <w:pPr>
              <w:jc w:val="center"/>
              <w:rPr>
                <w:sz w:val="20"/>
              </w:rPr>
            </w:pPr>
          </w:p>
        </w:tc>
        <w:tc>
          <w:tcPr>
            <w:tcW w:w="2896" w:type="dxa"/>
            <w:vMerge/>
          </w:tcPr>
          <w:p w14:paraId="3CE7EA92" w14:textId="77777777" w:rsidR="00EB329F" w:rsidRPr="008A38E7" w:rsidRDefault="00EB329F" w:rsidP="008A38E7">
            <w:pPr>
              <w:rPr>
                <w:sz w:val="20"/>
              </w:rPr>
            </w:pPr>
          </w:p>
        </w:tc>
      </w:tr>
      <w:tr w:rsidR="00EB329F" w:rsidRPr="001A67CD" w14:paraId="2828D3A5" w14:textId="77777777" w:rsidTr="0056173B">
        <w:tc>
          <w:tcPr>
            <w:tcW w:w="1981" w:type="dxa"/>
            <w:vMerge/>
          </w:tcPr>
          <w:p w14:paraId="3C0D6EC2" w14:textId="77777777" w:rsidR="00EB329F" w:rsidRPr="008A38E7" w:rsidRDefault="00EB329F">
            <w:pPr>
              <w:pStyle w:val="ListParagraph"/>
              <w:numPr>
                <w:ilvl w:val="0"/>
                <w:numId w:val="5"/>
              </w:numPr>
              <w:rPr>
                <w:sz w:val="20"/>
              </w:rPr>
            </w:pPr>
          </w:p>
        </w:tc>
        <w:tc>
          <w:tcPr>
            <w:tcW w:w="3759" w:type="dxa"/>
          </w:tcPr>
          <w:p w14:paraId="6A5EE3F6" w14:textId="2D3E9352" w:rsidR="00EB329F" w:rsidRPr="00DA6EA8" w:rsidRDefault="00EB329F" w:rsidP="008A38E7">
            <w:pPr>
              <w:pStyle w:val="ListParagraph"/>
              <w:numPr>
                <w:ilvl w:val="0"/>
                <w:numId w:val="3"/>
              </w:numPr>
              <w:rPr>
                <w:sz w:val="20"/>
              </w:rPr>
            </w:pPr>
            <w:r w:rsidRPr="00DA6EA8">
              <w:rPr>
                <w:sz w:val="20"/>
              </w:rPr>
              <w:t xml:space="preserve">Equity </w:t>
            </w:r>
            <w:r w:rsidRPr="003B26B6">
              <w:rPr>
                <w:sz w:val="20"/>
                <w:szCs w:val="20"/>
              </w:rPr>
              <w:t>closed-end funds</w:t>
            </w:r>
            <w:r w:rsidRPr="00DA6EA8">
              <w:rPr>
                <w:sz w:val="20"/>
              </w:rPr>
              <w:t xml:space="preserve"> (CEFs)</w:t>
            </w:r>
          </w:p>
        </w:tc>
        <w:tc>
          <w:tcPr>
            <w:tcW w:w="2435" w:type="dxa"/>
            <w:vAlign w:val="center"/>
          </w:tcPr>
          <w:p w14:paraId="555C4C40" w14:textId="1160CDA0" w:rsidR="00EB329F" w:rsidRPr="00DA6EA8" w:rsidRDefault="00EB329F" w:rsidP="008A38E7">
            <w:pPr>
              <w:jc w:val="center"/>
              <w:rPr>
                <w:sz w:val="20"/>
              </w:rPr>
            </w:pPr>
            <w:r w:rsidRPr="00CA5CDE">
              <w:rPr>
                <w:b/>
                <w:sz w:val="20"/>
                <w:szCs w:val="20"/>
              </w:rPr>
              <w:t>YES</w:t>
            </w:r>
          </w:p>
        </w:tc>
        <w:tc>
          <w:tcPr>
            <w:tcW w:w="2896" w:type="dxa"/>
          </w:tcPr>
          <w:p w14:paraId="50E62511" w14:textId="77777777" w:rsidR="00EB329F" w:rsidRPr="008A38E7" w:rsidRDefault="00EB329F" w:rsidP="008A38E7">
            <w:pPr>
              <w:rPr>
                <w:sz w:val="20"/>
              </w:rPr>
            </w:pPr>
          </w:p>
        </w:tc>
      </w:tr>
      <w:tr w:rsidR="00EB329F" w:rsidRPr="001A67CD" w14:paraId="77D030EA" w14:textId="77777777" w:rsidTr="0056173B">
        <w:tc>
          <w:tcPr>
            <w:tcW w:w="1981" w:type="dxa"/>
            <w:vMerge/>
          </w:tcPr>
          <w:p w14:paraId="414C2BF2" w14:textId="77777777" w:rsidR="00EB329F" w:rsidRPr="008A38E7" w:rsidRDefault="00EB329F">
            <w:pPr>
              <w:pStyle w:val="ListParagraph"/>
              <w:numPr>
                <w:ilvl w:val="0"/>
                <w:numId w:val="5"/>
              </w:numPr>
              <w:rPr>
                <w:sz w:val="20"/>
              </w:rPr>
            </w:pPr>
          </w:p>
        </w:tc>
        <w:tc>
          <w:tcPr>
            <w:tcW w:w="3759" w:type="dxa"/>
          </w:tcPr>
          <w:p w14:paraId="223EB5F0" w14:textId="77777777" w:rsidR="00EB329F" w:rsidRPr="00DA6EA8" w:rsidRDefault="00EB329F" w:rsidP="008A38E7">
            <w:pPr>
              <w:pStyle w:val="ListParagraph"/>
              <w:numPr>
                <w:ilvl w:val="0"/>
                <w:numId w:val="3"/>
              </w:numPr>
              <w:rPr>
                <w:sz w:val="20"/>
              </w:rPr>
            </w:pPr>
            <w:r w:rsidRPr="00DA6EA8">
              <w:rPr>
                <w:sz w:val="20"/>
              </w:rPr>
              <w:t>Equity ETFs</w:t>
            </w:r>
          </w:p>
        </w:tc>
        <w:tc>
          <w:tcPr>
            <w:tcW w:w="2435" w:type="dxa"/>
            <w:vAlign w:val="center"/>
          </w:tcPr>
          <w:p w14:paraId="5AD6758D" w14:textId="3B86FD94" w:rsidR="00EB329F" w:rsidRPr="00DA6EA8" w:rsidRDefault="00EB329F" w:rsidP="008A38E7">
            <w:pPr>
              <w:jc w:val="center"/>
              <w:rPr>
                <w:sz w:val="20"/>
              </w:rPr>
            </w:pPr>
            <w:r w:rsidRPr="00CA5CDE">
              <w:rPr>
                <w:b/>
                <w:sz w:val="20"/>
                <w:szCs w:val="20"/>
              </w:rPr>
              <w:t>YES</w:t>
            </w:r>
          </w:p>
        </w:tc>
        <w:tc>
          <w:tcPr>
            <w:tcW w:w="2896" w:type="dxa"/>
          </w:tcPr>
          <w:p w14:paraId="7068995B" w14:textId="1B7968BB" w:rsidR="00EB329F" w:rsidRPr="008A38E7" w:rsidRDefault="00EB329F" w:rsidP="008A38E7">
            <w:pPr>
              <w:rPr>
                <w:sz w:val="20"/>
              </w:rPr>
            </w:pPr>
          </w:p>
        </w:tc>
      </w:tr>
      <w:tr w:rsidR="00237D22" w:rsidRPr="001A67CD" w14:paraId="45C2C9C6" w14:textId="77777777" w:rsidTr="0056173B">
        <w:tc>
          <w:tcPr>
            <w:tcW w:w="1981" w:type="dxa"/>
            <w:vMerge/>
          </w:tcPr>
          <w:p w14:paraId="08F180C4" w14:textId="77777777" w:rsidR="00EB329F" w:rsidRPr="008A38E7" w:rsidRDefault="00EB329F">
            <w:pPr>
              <w:pStyle w:val="ListParagraph"/>
              <w:numPr>
                <w:ilvl w:val="0"/>
                <w:numId w:val="5"/>
              </w:numPr>
              <w:rPr>
                <w:sz w:val="20"/>
              </w:rPr>
            </w:pPr>
          </w:p>
        </w:tc>
        <w:tc>
          <w:tcPr>
            <w:tcW w:w="3759" w:type="dxa"/>
          </w:tcPr>
          <w:p w14:paraId="33E58724" w14:textId="43FF8B70" w:rsidR="00EB329F" w:rsidRPr="00DA6EA8" w:rsidRDefault="00EB329F" w:rsidP="008A38E7">
            <w:pPr>
              <w:pStyle w:val="ListParagraph"/>
              <w:numPr>
                <w:ilvl w:val="0"/>
                <w:numId w:val="3"/>
              </w:numPr>
              <w:rPr>
                <w:sz w:val="20"/>
              </w:rPr>
            </w:pPr>
            <w:r w:rsidRPr="00DA6EA8">
              <w:rPr>
                <w:sz w:val="20"/>
              </w:rPr>
              <w:t>Platform-</w:t>
            </w:r>
            <w:r>
              <w:rPr>
                <w:sz w:val="20"/>
                <w:szCs w:val="20"/>
              </w:rPr>
              <w:t>traded funds</w:t>
            </w:r>
            <w:r w:rsidRPr="00DA6EA8">
              <w:rPr>
                <w:sz w:val="20"/>
              </w:rPr>
              <w:t xml:space="preserve"> (PTFs</w:t>
            </w:r>
            <w:r>
              <w:rPr>
                <w:sz w:val="20"/>
                <w:szCs w:val="20"/>
              </w:rPr>
              <w:t>)</w:t>
            </w:r>
          </w:p>
        </w:tc>
        <w:tc>
          <w:tcPr>
            <w:tcW w:w="2435" w:type="dxa"/>
            <w:vAlign w:val="center"/>
          </w:tcPr>
          <w:p w14:paraId="077E42CE" w14:textId="4AAFB2D8" w:rsidR="00EB329F" w:rsidRPr="00DA6EA8" w:rsidRDefault="00EB329F" w:rsidP="008A38E7">
            <w:pPr>
              <w:jc w:val="center"/>
              <w:rPr>
                <w:sz w:val="20"/>
              </w:rPr>
            </w:pPr>
            <w:r w:rsidRPr="00CA5CDE">
              <w:rPr>
                <w:b/>
                <w:sz w:val="20"/>
                <w:szCs w:val="20"/>
              </w:rPr>
              <w:t>YES</w:t>
            </w:r>
          </w:p>
        </w:tc>
        <w:tc>
          <w:tcPr>
            <w:tcW w:w="2896" w:type="dxa"/>
          </w:tcPr>
          <w:p w14:paraId="11D57A55" w14:textId="77777777" w:rsidR="00EB329F" w:rsidRPr="008A38E7" w:rsidRDefault="00EB329F" w:rsidP="008A38E7">
            <w:pPr>
              <w:rPr>
                <w:sz w:val="20"/>
              </w:rPr>
            </w:pPr>
          </w:p>
        </w:tc>
      </w:tr>
      <w:tr w:rsidR="00EB329F" w:rsidRPr="001A67CD" w14:paraId="2DCA96FD" w14:textId="77777777" w:rsidTr="0056173B">
        <w:tc>
          <w:tcPr>
            <w:tcW w:w="1981" w:type="dxa"/>
          </w:tcPr>
          <w:p w14:paraId="5CC381ED" w14:textId="77777777" w:rsidR="00EB329F" w:rsidRPr="00DA6EA8" w:rsidRDefault="00EB329F">
            <w:pPr>
              <w:pStyle w:val="ListParagraph"/>
              <w:numPr>
                <w:ilvl w:val="0"/>
                <w:numId w:val="5"/>
              </w:numPr>
              <w:rPr>
                <w:sz w:val="20"/>
              </w:rPr>
            </w:pPr>
            <w:r w:rsidRPr="00DA6EA8">
              <w:rPr>
                <w:sz w:val="20"/>
              </w:rPr>
              <w:t>Rights</w:t>
            </w:r>
          </w:p>
        </w:tc>
        <w:tc>
          <w:tcPr>
            <w:tcW w:w="3759" w:type="dxa"/>
          </w:tcPr>
          <w:p w14:paraId="535C487F" w14:textId="38A7402F" w:rsidR="00EB329F" w:rsidRPr="00DA6EA8" w:rsidRDefault="00EB329F" w:rsidP="008A38E7">
            <w:pPr>
              <w:rPr>
                <w:sz w:val="20"/>
              </w:rPr>
            </w:pPr>
            <w:r w:rsidRPr="00DA6EA8">
              <w:rPr>
                <w:sz w:val="20"/>
              </w:rPr>
              <w:t>A certificate that permits the owner to purchase a certain number of shares, or, frequently, a fractional share of new stock from the issuer at a specific price</w:t>
            </w:r>
          </w:p>
        </w:tc>
        <w:tc>
          <w:tcPr>
            <w:tcW w:w="2435" w:type="dxa"/>
            <w:vAlign w:val="center"/>
          </w:tcPr>
          <w:p w14:paraId="16562374" w14:textId="77777777" w:rsidR="00EB329F" w:rsidRPr="00DA6EA8" w:rsidRDefault="00EB329F" w:rsidP="008A38E7">
            <w:pPr>
              <w:jc w:val="center"/>
              <w:rPr>
                <w:b/>
                <w:sz w:val="20"/>
              </w:rPr>
            </w:pPr>
            <w:r w:rsidRPr="00DA6EA8">
              <w:rPr>
                <w:b/>
                <w:sz w:val="20"/>
              </w:rPr>
              <w:t>YES</w:t>
            </w:r>
          </w:p>
        </w:tc>
        <w:tc>
          <w:tcPr>
            <w:tcW w:w="2896" w:type="dxa"/>
          </w:tcPr>
          <w:p w14:paraId="019AE187" w14:textId="77C0DACE" w:rsidR="00EB329F" w:rsidRPr="008A38E7" w:rsidRDefault="00EB329F" w:rsidP="008A38E7">
            <w:pPr>
              <w:rPr>
                <w:sz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8A38E7">
              <w:rPr>
                <w:sz w:val="20"/>
              </w:rPr>
              <w:t xml:space="preserve">. </w:t>
            </w:r>
            <w:bookmarkStart w:id="3" w:name="_Hlk103088289"/>
            <w:r w:rsidRPr="008A38E7">
              <w:rPr>
                <w:sz w:val="20"/>
              </w:rPr>
              <w:t xml:space="preserve">Current ‘special terms’ trades will </w:t>
            </w:r>
            <w:r>
              <w:rPr>
                <w:sz w:val="20"/>
                <w:szCs w:val="20"/>
              </w:rPr>
              <w:t>stay</w:t>
            </w:r>
            <w:r w:rsidRPr="008A38E7">
              <w:rPr>
                <w:sz w:val="20"/>
              </w:rPr>
              <w:t xml:space="preserve"> unchanged.</w:t>
            </w:r>
            <w:bookmarkEnd w:id="3"/>
          </w:p>
        </w:tc>
      </w:tr>
      <w:tr w:rsidR="00EB329F" w:rsidRPr="001A67CD" w14:paraId="654FDA94" w14:textId="77777777" w:rsidTr="0056173B">
        <w:tc>
          <w:tcPr>
            <w:tcW w:w="1981" w:type="dxa"/>
          </w:tcPr>
          <w:p w14:paraId="500F426D" w14:textId="77777777" w:rsidR="00EB329F" w:rsidRPr="00DA6EA8" w:rsidRDefault="00EB329F">
            <w:pPr>
              <w:pStyle w:val="ListParagraph"/>
              <w:numPr>
                <w:ilvl w:val="0"/>
                <w:numId w:val="5"/>
              </w:numPr>
              <w:rPr>
                <w:sz w:val="20"/>
              </w:rPr>
            </w:pPr>
            <w:r w:rsidRPr="00DA6EA8">
              <w:rPr>
                <w:sz w:val="20"/>
              </w:rPr>
              <w:t>Warrants</w:t>
            </w:r>
          </w:p>
        </w:tc>
        <w:tc>
          <w:tcPr>
            <w:tcW w:w="3759" w:type="dxa"/>
          </w:tcPr>
          <w:p w14:paraId="74741EC2" w14:textId="7AFC9D08" w:rsidR="00EB329F" w:rsidRPr="00DA6EA8" w:rsidRDefault="00EB329F" w:rsidP="008A38E7">
            <w:pPr>
              <w:rPr>
                <w:sz w:val="20"/>
              </w:rPr>
            </w:pPr>
            <w:r w:rsidRPr="00DA6EA8">
              <w:rPr>
                <w:sz w:val="20"/>
              </w:rPr>
              <w:t>A security that gives the holder the right to purchase securities (usually equity) from the issuer at a specific price within a certain time-frame</w:t>
            </w:r>
          </w:p>
        </w:tc>
        <w:tc>
          <w:tcPr>
            <w:tcW w:w="2435" w:type="dxa"/>
            <w:vAlign w:val="center"/>
          </w:tcPr>
          <w:p w14:paraId="25CCE1D4" w14:textId="77777777" w:rsidR="00EB329F" w:rsidRPr="00DA6EA8" w:rsidRDefault="00EB329F" w:rsidP="008A38E7">
            <w:pPr>
              <w:jc w:val="center"/>
              <w:rPr>
                <w:b/>
                <w:sz w:val="20"/>
              </w:rPr>
            </w:pPr>
            <w:r w:rsidRPr="00DA6EA8">
              <w:rPr>
                <w:b/>
                <w:sz w:val="20"/>
              </w:rPr>
              <w:t>YES</w:t>
            </w:r>
          </w:p>
        </w:tc>
        <w:tc>
          <w:tcPr>
            <w:tcW w:w="2896" w:type="dxa"/>
          </w:tcPr>
          <w:p w14:paraId="4000447A" w14:textId="243694D7" w:rsidR="00EB329F" w:rsidRPr="008A38E7" w:rsidRDefault="00EB329F" w:rsidP="008A38E7">
            <w:pPr>
              <w:rPr>
                <w:sz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8A38E7">
              <w:rPr>
                <w:sz w:val="20"/>
              </w:rPr>
              <w:t xml:space="preserve">. Current </w:t>
            </w:r>
            <w:r w:rsidRPr="008A38E7">
              <w:rPr>
                <w:sz w:val="20"/>
              </w:rPr>
              <w:lastRenderedPageBreak/>
              <w:t xml:space="preserve">‘special terms’ trades will </w:t>
            </w:r>
            <w:r>
              <w:rPr>
                <w:sz w:val="20"/>
                <w:szCs w:val="20"/>
              </w:rPr>
              <w:t>stay</w:t>
            </w:r>
            <w:r w:rsidRPr="008A38E7">
              <w:rPr>
                <w:sz w:val="20"/>
              </w:rPr>
              <w:t xml:space="preserve"> unchanged.</w:t>
            </w:r>
          </w:p>
        </w:tc>
      </w:tr>
      <w:tr w:rsidR="00EB329F" w:rsidRPr="001A67CD" w14:paraId="71FAC070" w14:textId="77777777" w:rsidTr="0056173B">
        <w:tc>
          <w:tcPr>
            <w:tcW w:w="1981" w:type="dxa"/>
          </w:tcPr>
          <w:p w14:paraId="43814CF0" w14:textId="77777777" w:rsidR="00EB329F" w:rsidRPr="00DA6EA8" w:rsidRDefault="00EB329F">
            <w:pPr>
              <w:pStyle w:val="ListParagraph"/>
              <w:numPr>
                <w:ilvl w:val="0"/>
                <w:numId w:val="5"/>
              </w:numPr>
              <w:rPr>
                <w:sz w:val="20"/>
              </w:rPr>
            </w:pPr>
            <w:r w:rsidRPr="00DA6EA8">
              <w:rPr>
                <w:sz w:val="20"/>
              </w:rPr>
              <w:lastRenderedPageBreak/>
              <w:t>Units</w:t>
            </w:r>
          </w:p>
        </w:tc>
        <w:tc>
          <w:tcPr>
            <w:tcW w:w="3759" w:type="dxa"/>
          </w:tcPr>
          <w:p w14:paraId="52715F9D" w14:textId="77777777" w:rsidR="00EB329F" w:rsidRPr="008A38E7" w:rsidRDefault="00EB329F" w:rsidP="008A38E7">
            <w:pPr>
              <w:rPr>
                <w:sz w:val="20"/>
              </w:rPr>
            </w:pPr>
            <w:r w:rsidRPr="008A38E7">
              <w:rPr>
                <w:sz w:val="20"/>
              </w:rPr>
              <w:t>Represents products sold as a 'unit', which includes bundled stock and warrants, etc.</w:t>
            </w:r>
          </w:p>
        </w:tc>
        <w:tc>
          <w:tcPr>
            <w:tcW w:w="2435" w:type="dxa"/>
            <w:vAlign w:val="center"/>
          </w:tcPr>
          <w:p w14:paraId="626DEE5D" w14:textId="77777777" w:rsidR="00EB329F" w:rsidRPr="00DA6EA8" w:rsidRDefault="00EB329F" w:rsidP="008A38E7">
            <w:pPr>
              <w:jc w:val="center"/>
              <w:rPr>
                <w:b/>
                <w:sz w:val="20"/>
              </w:rPr>
            </w:pPr>
            <w:r w:rsidRPr="00DA6EA8">
              <w:rPr>
                <w:b/>
                <w:sz w:val="20"/>
              </w:rPr>
              <w:t>YES</w:t>
            </w:r>
          </w:p>
        </w:tc>
        <w:tc>
          <w:tcPr>
            <w:tcW w:w="2896" w:type="dxa"/>
          </w:tcPr>
          <w:p w14:paraId="2E5E47F1" w14:textId="527A3AEE" w:rsidR="00EB329F" w:rsidRPr="008A38E7" w:rsidRDefault="00EB329F" w:rsidP="008A38E7">
            <w:pPr>
              <w:rPr>
                <w:sz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8A38E7">
              <w:rPr>
                <w:sz w:val="20"/>
              </w:rPr>
              <w:t xml:space="preserve">. Current ‘special terms’ trades will </w:t>
            </w:r>
            <w:r>
              <w:rPr>
                <w:sz w:val="20"/>
                <w:szCs w:val="20"/>
              </w:rPr>
              <w:t>stay</w:t>
            </w:r>
            <w:r w:rsidRPr="008A38E7">
              <w:rPr>
                <w:sz w:val="20"/>
              </w:rPr>
              <w:t xml:space="preserve"> unchanged.</w:t>
            </w:r>
          </w:p>
        </w:tc>
      </w:tr>
      <w:tr w:rsidR="00EB329F" w:rsidRPr="001A67CD" w14:paraId="32D89004" w14:textId="77777777" w:rsidTr="0056173B">
        <w:tc>
          <w:tcPr>
            <w:tcW w:w="1981" w:type="dxa"/>
          </w:tcPr>
          <w:p w14:paraId="3BB58B5D" w14:textId="77777777" w:rsidR="00EB329F" w:rsidRPr="00DA6EA8" w:rsidRDefault="00EB329F">
            <w:pPr>
              <w:pStyle w:val="ListParagraph"/>
              <w:numPr>
                <w:ilvl w:val="0"/>
                <w:numId w:val="5"/>
              </w:numPr>
              <w:rPr>
                <w:sz w:val="20"/>
              </w:rPr>
            </w:pPr>
            <w:r w:rsidRPr="00DA6EA8">
              <w:rPr>
                <w:sz w:val="20"/>
              </w:rPr>
              <w:t>Trust Units</w:t>
            </w:r>
            <w:r w:rsidRPr="00F72133">
              <w:rPr>
                <w:sz w:val="20"/>
                <w:szCs w:val="20"/>
              </w:rPr>
              <w:t xml:space="preserve"> </w:t>
            </w:r>
          </w:p>
        </w:tc>
        <w:tc>
          <w:tcPr>
            <w:tcW w:w="3759" w:type="dxa"/>
          </w:tcPr>
          <w:p w14:paraId="3EB0403C" w14:textId="36339C12" w:rsidR="00EB329F" w:rsidRPr="00DA6EA8" w:rsidRDefault="00EB329F" w:rsidP="008A38E7">
            <w:pPr>
              <w:rPr>
                <w:sz w:val="20"/>
              </w:rPr>
            </w:pPr>
            <w:r w:rsidRPr="00DA6EA8">
              <w:rPr>
                <w:sz w:val="20"/>
              </w:rPr>
              <w:t>All units structured under a trust deed but excluding real estate investment trusts (REITs) as they are reported under a unique sub-type</w:t>
            </w:r>
          </w:p>
        </w:tc>
        <w:tc>
          <w:tcPr>
            <w:tcW w:w="2435" w:type="dxa"/>
            <w:vAlign w:val="center"/>
          </w:tcPr>
          <w:p w14:paraId="0A9D0249" w14:textId="77777777" w:rsidR="00EB329F" w:rsidRPr="00DA6EA8" w:rsidRDefault="00EB329F" w:rsidP="008A38E7">
            <w:pPr>
              <w:jc w:val="center"/>
              <w:rPr>
                <w:b/>
                <w:sz w:val="20"/>
              </w:rPr>
            </w:pPr>
            <w:r w:rsidRPr="00DA6EA8">
              <w:rPr>
                <w:b/>
                <w:sz w:val="20"/>
              </w:rPr>
              <w:t>YES</w:t>
            </w:r>
          </w:p>
        </w:tc>
        <w:tc>
          <w:tcPr>
            <w:tcW w:w="2896" w:type="dxa"/>
          </w:tcPr>
          <w:p w14:paraId="446D5EBF" w14:textId="462399DE" w:rsidR="00EB329F" w:rsidRPr="008A38E7" w:rsidRDefault="00EB329F" w:rsidP="008A38E7">
            <w:pPr>
              <w:rPr>
                <w:sz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8A38E7">
              <w:rPr>
                <w:sz w:val="20"/>
              </w:rPr>
              <w:t xml:space="preserve">. Current ‘special terms’ trades will </w:t>
            </w:r>
            <w:r>
              <w:rPr>
                <w:sz w:val="20"/>
                <w:szCs w:val="20"/>
              </w:rPr>
              <w:t>stay</w:t>
            </w:r>
            <w:r w:rsidRPr="008A38E7">
              <w:rPr>
                <w:sz w:val="20"/>
              </w:rPr>
              <w:t xml:space="preserve"> unchanged.</w:t>
            </w:r>
          </w:p>
        </w:tc>
      </w:tr>
      <w:tr w:rsidR="00EB329F" w:rsidRPr="001A67CD" w14:paraId="0F2AE7B2" w14:textId="77777777" w:rsidTr="0056173B">
        <w:tc>
          <w:tcPr>
            <w:tcW w:w="1981" w:type="dxa"/>
          </w:tcPr>
          <w:p w14:paraId="3919BFFF" w14:textId="5ED2B210" w:rsidR="00EB329F" w:rsidRPr="00DA6EA8" w:rsidRDefault="00EB329F">
            <w:pPr>
              <w:pStyle w:val="ListParagraph"/>
              <w:numPr>
                <w:ilvl w:val="0"/>
                <w:numId w:val="5"/>
              </w:numPr>
              <w:rPr>
                <w:sz w:val="20"/>
              </w:rPr>
            </w:pPr>
            <w:r w:rsidRPr="00DA6EA8">
              <w:rPr>
                <w:sz w:val="20"/>
              </w:rPr>
              <w:t>Limited</w:t>
            </w:r>
            <w:r w:rsidRPr="00F72133">
              <w:rPr>
                <w:sz w:val="20"/>
                <w:szCs w:val="20"/>
              </w:rPr>
              <w:t xml:space="preserve"> </w:t>
            </w:r>
            <w:r w:rsidRPr="00DA6EA8">
              <w:rPr>
                <w:sz w:val="20"/>
              </w:rPr>
              <w:t>Partnership Units (LPUs)</w:t>
            </w:r>
          </w:p>
        </w:tc>
        <w:tc>
          <w:tcPr>
            <w:tcW w:w="3759" w:type="dxa"/>
          </w:tcPr>
          <w:p w14:paraId="2BE76B9C" w14:textId="5405F68A" w:rsidR="00EB329F" w:rsidRPr="008A38E7" w:rsidRDefault="00EB329F" w:rsidP="008A38E7">
            <w:pPr>
              <w:rPr>
                <w:sz w:val="20"/>
              </w:rPr>
            </w:pPr>
            <w:r w:rsidRPr="008A38E7">
              <w:rPr>
                <w:sz w:val="20"/>
              </w:rPr>
              <w:t>An ownership unit in a publicly traded limited partnership, or master limited partnership (MLP) that provides the unitholder with a stake in the income generated by the partnership company</w:t>
            </w:r>
          </w:p>
        </w:tc>
        <w:tc>
          <w:tcPr>
            <w:tcW w:w="2435" w:type="dxa"/>
            <w:vAlign w:val="center"/>
          </w:tcPr>
          <w:p w14:paraId="68180E92" w14:textId="77777777" w:rsidR="00EB329F" w:rsidRPr="00DA6EA8" w:rsidRDefault="00EB329F" w:rsidP="008A38E7">
            <w:pPr>
              <w:jc w:val="center"/>
              <w:rPr>
                <w:b/>
                <w:sz w:val="20"/>
              </w:rPr>
            </w:pPr>
            <w:r w:rsidRPr="00DA6EA8">
              <w:rPr>
                <w:b/>
                <w:sz w:val="20"/>
              </w:rPr>
              <w:t>YES</w:t>
            </w:r>
          </w:p>
        </w:tc>
        <w:tc>
          <w:tcPr>
            <w:tcW w:w="2896" w:type="dxa"/>
          </w:tcPr>
          <w:p w14:paraId="7DF3DB24" w14:textId="3E9AF481" w:rsidR="00EB329F" w:rsidRPr="008A38E7" w:rsidRDefault="00EB329F" w:rsidP="008A38E7">
            <w:pPr>
              <w:rPr>
                <w:sz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8A38E7">
              <w:rPr>
                <w:sz w:val="20"/>
              </w:rPr>
              <w:t xml:space="preserve">. Current ‘special terms’ trades will </w:t>
            </w:r>
            <w:r>
              <w:rPr>
                <w:sz w:val="20"/>
                <w:szCs w:val="20"/>
              </w:rPr>
              <w:t>stay</w:t>
            </w:r>
            <w:r w:rsidRPr="008A38E7">
              <w:rPr>
                <w:sz w:val="20"/>
              </w:rPr>
              <w:t xml:space="preserve"> unchanged.</w:t>
            </w:r>
          </w:p>
        </w:tc>
      </w:tr>
      <w:tr w:rsidR="00EB329F" w:rsidRPr="001A67CD" w14:paraId="2486BE88" w14:textId="77777777" w:rsidTr="0056173B">
        <w:tc>
          <w:tcPr>
            <w:tcW w:w="1981" w:type="dxa"/>
          </w:tcPr>
          <w:p w14:paraId="7C0755A0" w14:textId="77777777" w:rsidR="00EB329F" w:rsidRPr="00F72133" w:rsidRDefault="00EB329F">
            <w:pPr>
              <w:pStyle w:val="ListParagraph"/>
              <w:numPr>
                <w:ilvl w:val="0"/>
                <w:numId w:val="5"/>
              </w:numPr>
              <w:rPr>
                <w:sz w:val="20"/>
                <w:szCs w:val="20"/>
              </w:rPr>
            </w:pPr>
            <w:r w:rsidRPr="00F72133">
              <w:rPr>
                <w:sz w:val="20"/>
                <w:szCs w:val="20"/>
              </w:rPr>
              <w:t>Instalment Receipt</w:t>
            </w:r>
            <w:r>
              <w:rPr>
                <w:sz w:val="20"/>
                <w:szCs w:val="20"/>
              </w:rPr>
              <w:t>s</w:t>
            </w:r>
          </w:p>
        </w:tc>
        <w:tc>
          <w:tcPr>
            <w:tcW w:w="3759" w:type="dxa"/>
          </w:tcPr>
          <w:p w14:paraId="406CE3A5" w14:textId="77777777" w:rsidR="00EB329F" w:rsidRPr="003B26B6" w:rsidRDefault="00EB329F" w:rsidP="00EB329F">
            <w:pPr>
              <w:rPr>
                <w:sz w:val="20"/>
                <w:szCs w:val="20"/>
              </w:rPr>
            </w:pPr>
            <w:r w:rsidRPr="003B26B6">
              <w:rPr>
                <w:sz w:val="20"/>
                <w:szCs w:val="20"/>
              </w:rPr>
              <w:t>An equity issuance in which the purchaser does not pay the full value of the issue upfront. In the purchase of an instalment receipt, an initial payment is made to the issuer at the time the issue closes; the remaining balance must be paid in instalments. Although the purchaser has not paid the full value of the issue, he or she is still entitled to full voting rights and dividends.</w:t>
            </w:r>
          </w:p>
        </w:tc>
        <w:tc>
          <w:tcPr>
            <w:tcW w:w="2435" w:type="dxa"/>
            <w:vAlign w:val="center"/>
          </w:tcPr>
          <w:p w14:paraId="2C6608FC" w14:textId="77777777" w:rsidR="00EB329F" w:rsidRPr="00CA5CDE" w:rsidRDefault="00EB329F" w:rsidP="00EB329F">
            <w:pPr>
              <w:jc w:val="center"/>
              <w:rPr>
                <w:b/>
                <w:sz w:val="20"/>
                <w:szCs w:val="20"/>
              </w:rPr>
            </w:pPr>
            <w:r w:rsidRPr="00CA5CDE">
              <w:rPr>
                <w:b/>
                <w:sz w:val="20"/>
                <w:szCs w:val="20"/>
              </w:rPr>
              <w:t>YES</w:t>
            </w:r>
          </w:p>
        </w:tc>
        <w:tc>
          <w:tcPr>
            <w:tcW w:w="2896" w:type="dxa"/>
            <w:vAlign w:val="center"/>
          </w:tcPr>
          <w:p w14:paraId="61736F6E" w14:textId="156103AE" w:rsidR="00EB329F" w:rsidRPr="00CE792C" w:rsidRDefault="00E739E2" w:rsidP="00EB329F">
            <w:pPr>
              <w:rPr>
                <w:sz w:val="20"/>
                <w:szCs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8A38E7">
              <w:rPr>
                <w:sz w:val="20"/>
              </w:rPr>
              <w:t xml:space="preserve">. Current ‘special terms’ trades will </w:t>
            </w:r>
            <w:r>
              <w:rPr>
                <w:sz w:val="20"/>
                <w:szCs w:val="20"/>
              </w:rPr>
              <w:t>stay</w:t>
            </w:r>
            <w:r w:rsidRPr="008A38E7">
              <w:rPr>
                <w:sz w:val="20"/>
              </w:rPr>
              <w:t xml:space="preserve"> unchanged.</w:t>
            </w:r>
          </w:p>
        </w:tc>
      </w:tr>
      <w:tr w:rsidR="00EB329F" w:rsidRPr="001A67CD" w14:paraId="5E2A91A8" w14:textId="77777777" w:rsidTr="0056173B">
        <w:tc>
          <w:tcPr>
            <w:tcW w:w="1981" w:type="dxa"/>
          </w:tcPr>
          <w:p w14:paraId="60482CA3" w14:textId="77777777" w:rsidR="00EB329F" w:rsidRPr="00F72133" w:rsidRDefault="00EB329F">
            <w:pPr>
              <w:pStyle w:val="ListParagraph"/>
              <w:numPr>
                <w:ilvl w:val="0"/>
                <w:numId w:val="5"/>
              </w:numPr>
              <w:rPr>
                <w:sz w:val="20"/>
                <w:szCs w:val="20"/>
              </w:rPr>
            </w:pPr>
            <w:r w:rsidRPr="00F72133">
              <w:rPr>
                <w:sz w:val="20"/>
                <w:szCs w:val="20"/>
              </w:rPr>
              <w:t>Subscription Receipt</w:t>
            </w:r>
            <w:r>
              <w:rPr>
                <w:sz w:val="20"/>
                <w:szCs w:val="20"/>
              </w:rPr>
              <w:t>s</w:t>
            </w:r>
          </w:p>
        </w:tc>
        <w:tc>
          <w:tcPr>
            <w:tcW w:w="3759" w:type="dxa"/>
          </w:tcPr>
          <w:p w14:paraId="4BE5631F" w14:textId="77777777" w:rsidR="00EB329F" w:rsidRPr="003B26B6" w:rsidRDefault="00EB329F" w:rsidP="00EB329F">
            <w:pPr>
              <w:rPr>
                <w:sz w:val="20"/>
                <w:szCs w:val="20"/>
              </w:rPr>
            </w:pPr>
            <w:r w:rsidRPr="003B26B6">
              <w:rPr>
                <w:sz w:val="20"/>
                <w:szCs w:val="20"/>
              </w:rPr>
              <w:t>Shares carrying the right (but not the obligation) to be exchanged for common stock of a firm at a predetermined price and within a specified period, while simultaneously carrying the right to a dividend prior to the exchange.</w:t>
            </w:r>
          </w:p>
        </w:tc>
        <w:tc>
          <w:tcPr>
            <w:tcW w:w="2435" w:type="dxa"/>
            <w:vAlign w:val="center"/>
          </w:tcPr>
          <w:p w14:paraId="3A188A68" w14:textId="77777777" w:rsidR="00EB329F" w:rsidRPr="00CA5CDE" w:rsidRDefault="00EB329F" w:rsidP="00EB329F">
            <w:pPr>
              <w:jc w:val="center"/>
              <w:rPr>
                <w:b/>
                <w:sz w:val="20"/>
                <w:szCs w:val="20"/>
              </w:rPr>
            </w:pPr>
            <w:r w:rsidRPr="00CA5CDE">
              <w:rPr>
                <w:b/>
                <w:sz w:val="20"/>
                <w:szCs w:val="20"/>
              </w:rPr>
              <w:t>YES</w:t>
            </w:r>
          </w:p>
        </w:tc>
        <w:tc>
          <w:tcPr>
            <w:tcW w:w="2896" w:type="dxa"/>
            <w:vAlign w:val="center"/>
          </w:tcPr>
          <w:p w14:paraId="5A829212" w14:textId="0A567F1A" w:rsidR="00EB329F" w:rsidRPr="00CE792C" w:rsidRDefault="00E739E2" w:rsidP="00EB329F">
            <w:pPr>
              <w:rPr>
                <w:sz w:val="20"/>
                <w:szCs w:val="20"/>
              </w:rPr>
            </w:pPr>
            <w:r w:rsidRPr="008A38E7">
              <w:rPr>
                <w:sz w:val="20"/>
              </w:rPr>
              <w:t>Any transaction that currently trades on a T+</w:t>
            </w:r>
            <w:r>
              <w:rPr>
                <w:sz w:val="20"/>
                <w:szCs w:val="20"/>
              </w:rPr>
              <w:t>2</w:t>
            </w:r>
            <w:r w:rsidRPr="008A38E7">
              <w:rPr>
                <w:sz w:val="20"/>
              </w:rPr>
              <w:t xml:space="preserve"> basis will transition to T+</w:t>
            </w:r>
            <w:r>
              <w:rPr>
                <w:sz w:val="20"/>
                <w:szCs w:val="20"/>
              </w:rPr>
              <w:t>1</w:t>
            </w:r>
            <w:r w:rsidRPr="008A38E7">
              <w:rPr>
                <w:sz w:val="20"/>
              </w:rPr>
              <w:t xml:space="preserve">. Current ‘special terms’ trades will </w:t>
            </w:r>
            <w:r>
              <w:rPr>
                <w:sz w:val="20"/>
                <w:szCs w:val="20"/>
              </w:rPr>
              <w:t>stay</w:t>
            </w:r>
            <w:r w:rsidRPr="008A38E7">
              <w:rPr>
                <w:sz w:val="20"/>
              </w:rPr>
              <w:t xml:space="preserve"> unchanged.</w:t>
            </w:r>
          </w:p>
        </w:tc>
      </w:tr>
      <w:tr w:rsidR="004A12BC" w:rsidRPr="005271B8" w14:paraId="017EA24E" w14:textId="77777777" w:rsidTr="0056173B">
        <w:tc>
          <w:tcPr>
            <w:tcW w:w="1981" w:type="dxa"/>
          </w:tcPr>
          <w:p w14:paraId="0A60EEAF" w14:textId="23817CAB" w:rsidR="004A12BC" w:rsidRPr="005271B8" w:rsidRDefault="004A12BC">
            <w:pPr>
              <w:pStyle w:val="ListParagraph"/>
              <w:numPr>
                <w:ilvl w:val="0"/>
                <w:numId w:val="5"/>
              </w:numPr>
              <w:rPr>
                <w:sz w:val="20"/>
                <w:szCs w:val="20"/>
              </w:rPr>
            </w:pPr>
            <w:r w:rsidRPr="00A2560A">
              <w:rPr>
                <w:sz w:val="20"/>
                <w:szCs w:val="20"/>
              </w:rPr>
              <w:t xml:space="preserve">Canadian </w:t>
            </w:r>
            <w:r w:rsidRPr="005271B8">
              <w:rPr>
                <w:sz w:val="20"/>
                <w:szCs w:val="20"/>
              </w:rPr>
              <w:t>Deposit</w:t>
            </w:r>
            <w:r>
              <w:rPr>
                <w:sz w:val="20"/>
                <w:szCs w:val="20"/>
              </w:rPr>
              <w:t>a</w:t>
            </w:r>
            <w:r w:rsidRPr="005271B8">
              <w:rPr>
                <w:sz w:val="20"/>
                <w:szCs w:val="20"/>
              </w:rPr>
              <w:t>ry Receipts (CDRs)</w:t>
            </w:r>
          </w:p>
        </w:tc>
        <w:tc>
          <w:tcPr>
            <w:tcW w:w="3759" w:type="dxa"/>
          </w:tcPr>
          <w:p w14:paraId="43B17495" w14:textId="399868AA" w:rsidR="004A12BC" w:rsidRPr="00A2560A" w:rsidRDefault="004A12BC" w:rsidP="004A12BC">
            <w:pPr>
              <w:rPr>
                <w:sz w:val="20"/>
                <w:szCs w:val="20"/>
              </w:rPr>
            </w:pPr>
            <w:r>
              <w:rPr>
                <w:sz w:val="20"/>
                <w:szCs w:val="20"/>
              </w:rPr>
              <w:t xml:space="preserve">Similar to American Depositary Receipts (ADRs), a </w:t>
            </w:r>
            <w:r w:rsidRPr="005271B8">
              <w:rPr>
                <w:sz w:val="20"/>
                <w:szCs w:val="20"/>
              </w:rPr>
              <w:t xml:space="preserve">security that </w:t>
            </w:r>
            <w:r>
              <w:rPr>
                <w:sz w:val="20"/>
                <w:szCs w:val="20"/>
              </w:rPr>
              <w:t xml:space="preserve">provides </w:t>
            </w:r>
            <w:r w:rsidRPr="005271B8">
              <w:rPr>
                <w:sz w:val="20"/>
                <w:szCs w:val="20"/>
              </w:rPr>
              <w:t>exposure to shares of global companies</w:t>
            </w:r>
            <w:r>
              <w:rPr>
                <w:sz w:val="20"/>
                <w:szCs w:val="20"/>
              </w:rPr>
              <w:t>,</w:t>
            </w:r>
            <w:r w:rsidRPr="005271B8">
              <w:rPr>
                <w:sz w:val="20"/>
                <w:szCs w:val="20"/>
              </w:rPr>
              <w:t xml:space="preserve"> but are traded in Canadian dollars on a Canadian stock exchange.</w:t>
            </w:r>
          </w:p>
        </w:tc>
        <w:tc>
          <w:tcPr>
            <w:tcW w:w="2435" w:type="dxa"/>
            <w:vAlign w:val="center"/>
          </w:tcPr>
          <w:p w14:paraId="09D25D23" w14:textId="26F4129B" w:rsidR="004A12BC" w:rsidRPr="00A2560A" w:rsidRDefault="004A12BC" w:rsidP="004A12BC">
            <w:pPr>
              <w:jc w:val="center"/>
              <w:rPr>
                <w:b/>
                <w:sz w:val="20"/>
                <w:szCs w:val="20"/>
              </w:rPr>
            </w:pPr>
            <w:r>
              <w:rPr>
                <w:b/>
                <w:sz w:val="20"/>
                <w:szCs w:val="20"/>
              </w:rPr>
              <w:t>YES</w:t>
            </w:r>
          </w:p>
        </w:tc>
        <w:tc>
          <w:tcPr>
            <w:tcW w:w="2896" w:type="dxa"/>
          </w:tcPr>
          <w:p w14:paraId="664BB57E" w14:textId="5EB372BD" w:rsidR="004A12BC" w:rsidRPr="005E7942" w:rsidRDefault="000323ED" w:rsidP="000323ED">
            <w:pPr>
              <w:rPr>
                <w:sz w:val="20"/>
                <w:szCs w:val="20"/>
              </w:rPr>
            </w:pPr>
            <w:r w:rsidRPr="000323ED">
              <w:rPr>
                <w:b/>
                <w:bCs/>
                <w:sz w:val="20"/>
                <w:szCs w:val="20"/>
              </w:rPr>
              <w:t>Note:</w:t>
            </w:r>
            <w:r>
              <w:rPr>
                <w:sz w:val="20"/>
                <w:szCs w:val="20"/>
              </w:rPr>
              <w:t xml:space="preserve">  </w:t>
            </w:r>
            <w:r w:rsidR="004A12BC" w:rsidRPr="005E7942">
              <w:rPr>
                <w:sz w:val="20"/>
                <w:szCs w:val="20"/>
              </w:rPr>
              <w:t>This is a new product, trading on NEO, currently only issued by one issuer.</w:t>
            </w:r>
          </w:p>
        </w:tc>
      </w:tr>
      <w:tr w:rsidR="004A12BC" w:rsidRPr="001A67CD" w14:paraId="56FBF1B3" w14:textId="77777777" w:rsidTr="0056173B">
        <w:tc>
          <w:tcPr>
            <w:tcW w:w="1981" w:type="dxa"/>
          </w:tcPr>
          <w:p w14:paraId="2222C10F" w14:textId="77777777" w:rsidR="004A12BC" w:rsidRPr="007D327D" w:rsidRDefault="004A12BC">
            <w:pPr>
              <w:pStyle w:val="ListParagraph"/>
              <w:numPr>
                <w:ilvl w:val="0"/>
                <w:numId w:val="5"/>
              </w:numPr>
              <w:rPr>
                <w:sz w:val="20"/>
                <w:szCs w:val="20"/>
              </w:rPr>
            </w:pPr>
            <w:r w:rsidRPr="00F72133">
              <w:rPr>
                <w:sz w:val="20"/>
                <w:szCs w:val="20"/>
              </w:rPr>
              <w:t>Real Estate Investment Trust</w:t>
            </w:r>
            <w:r>
              <w:rPr>
                <w:sz w:val="20"/>
                <w:szCs w:val="20"/>
              </w:rPr>
              <w:t>s</w:t>
            </w:r>
            <w:r w:rsidRPr="00F72133">
              <w:rPr>
                <w:sz w:val="20"/>
                <w:szCs w:val="20"/>
              </w:rPr>
              <w:t xml:space="preserve"> (REIT</w:t>
            </w:r>
            <w:r>
              <w:rPr>
                <w:sz w:val="20"/>
                <w:szCs w:val="20"/>
              </w:rPr>
              <w:t>s</w:t>
            </w:r>
            <w:r w:rsidRPr="00F72133">
              <w:rPr>
                <w:sz w:val="20"/>
                <w:szCs w:val="20"/>
              </w:rPr>
              <w:t xml:space="preserve">) </w:t>
            </w:r>
          </w:p>
        </w:tc>
        <w:tc>
          <w:tcPr>
            <w:tcW w:w="3759" w:type="dxa"/>
          </w:tcPr>
          <w:p w14:paraId="2A552CED" w14:textId="77777777" w:rsidR="004A12BC" w:rsidRPr="003B26B6" w:rsidRDefault="004A12BC" w:rsidP="004A12BC">
            <w:pPr>
              <w:rPr>
                <w:sz w:val="20"/>
                <w:szCs w:val="20"/>
              </w:rPr>
            </w:pPr>
            <w:r w:rsidRPr="003B26B6">
              <w:rPr>
                <w:sz w:val="20"/>
                <w:szCs w:val="20"/>
              </w:rPr>
              <w:t>Investment vehicle similar to a mutual fund (unit trust). REITs use the pooled capital of several investors to make mortgage loans to builders or developers, or to directly invest in income-producing property that offers tax benefits in addition to interest and capital gains.</w:t>
            </w:r>
          </w:p>
        </w:tc>
        <w:tc>
          <w:tcPr>
            <w:tcW w:w="2435" w:type="dxa"/>
            <w:vAlign w:val="center"/>
          </w:tcPr>
          <w:p w14:paraId="20A936B9" w14:textId="77777777" w:rsidR="004A12BC" w:rsidRPr="00CA5CDE" w:rsidRDefault="004A12BC" w:rsidP="004A12BC">
            <w:pPr>
              <w:jc w:val="center"/>
              <w:rPr>
                <w:b/>
                <w:sz w:val="20"/>
                <w:szCs w:val="20"/>
              </w:rPr>
            </w:pPr>
            <w:r w:rsidRPr="00CA5CDE">
              <w:rPr>
                <w:b/>
                <w:sz w:val="20"/>
                <w:szCs w:val="20"/>
              </w:rPr>
              <w:t>YES</w:t>
            </w:r>
          </w:p>
        </w:tc>
        <w:tc>
          <w:tcPr>
            <w:tcW w:w="2896" w:type="dxa"/>
          </w:tcPr>
          <w:p w14:paraId="16A51AA5" w14:textId="66B8ED4A" w:rsidR="004A12BC" w:rsidRPr="00CE792C" w:rsidRDefault="004A12BC" w:rsidP="004A12BC">
            <w:pPr>
              <w:rPr>
                <w:sz w:val="20"/>
                <w:szCs w:val="20"/>
              </w:rPr>
            </w:pPr>
            <w:r w:rsidRPr="001520EF">
              <w:rPr>
                <w:sz w:val="20"/>
              </w:rPr>
              <w:t>Any transaction that currently trades on a T+</w:t>
            </w:r>
            <w:r w:rsidRPr="001520EF">
              <w:rPr>
                <w:sz w:val="20"/>
                <w:szCs w:val="20"/>
              </w:rPr>
              <w:t>2</w:t>
            </w:r>
            <w:r w:rsidRPr="001520EF">
              <w:rPr>
                <w:sz w:val="20"/>
              </w:rPr>
              <w:t xml:space="preserve"> basis will transition to T+</w:t>
            </w:r>
            <w:r w:rsidRPr="001520EF">
              <w:rPr>
                <w:sz w:val="20"/>
                <w:szCs w:val="20"/>
              </w:rPr>
              <w:t>1</w:t>
            </w:r>
            <w:r w:rsidRPr="001520EF">
              <w:rPr>
                <w:sz w:val="20"/>
              </w:rPr>
              <w:t xml:space="preserve">. Current ‘special terms’ trades will </w:t>
            </w:r>
            <w:r w:rsidRPr="001520EF">
              <w:rPr>
                <w:sz w:val="20"/>
                <w:szCs w:val="20"/>
              </w:rPr>
              <w:t>stay</w:t>
            </w:r>
            <w:r w:rsidRPr="001520EF">
              <w:rPr>
                <w:sz w:val="20"/>
              </w:rPr>
              <w:t xml:space="preserve"> unchanged.</w:t>
            </w:r>
          </w:p>
        </w:tc>
      </w:tr>
      <w:tr w:rsidR="004A12BC" w:rsidRPr="001A67CD" w14:paraId="63CE243C" w14:textId="77777777" w:rsidTr="0056173B">
        <w:tc>
          <w:tcPr>
            <w:tcW w:w="1981" w:type="dxa"/>
          </w:tcPr>
          <w:p w14:paraId="1A743DFD" w14:textId="77777777" w:rsidR="004A12BC" w:rsidRPr="00F72133" w:rsidRDefault="004A12BC">
            <w:pPr>
              <w:pStyle w:val="ListParagraph"/>
              <w:numPr>
                <w:ilvl w:val="0"/>
                <w:numId w:val="5"/>
              </w:numPr>
              <w:rPr>
                <w:sz w:val="20"/>
                <w:szCs w:val="20"/>
              </w:rPr>
            </w:pPr>
            <w:r w:rsidRPr="00F72133">
              <w:rPr>
                <w:sz w:val="20"/>
                <w:szCs w:val="20"/>
              </w:rPr>
              <w:t>Flow-Through Shares</w:t>
            </w:r>
          </w:p>
        </w:tc>
        <w:tc>
          <w:tcPr>
            <w:tcW w:w="3759" w:type="dxa"/>
          </w:tcPr>
          <w:p w14:paraId="787AE434" w14:textId="77777777" w:rsidR="004A12BC" w:rsidRPr="003B26B6" w:rsidRDefault="004A12BC" w:rsidP="004A12BC">
            <w:pPr>
              <w:rPr>
                <w:sz w:val="20"/>
                <w:szCs w:val="20"/>
              </w:rPr>
            </w:pPr>
            <w:r w:rsidRPr="003B26B6">
              <w:rPr>
                <w:sz w:val="20"/>
                <w:szCs w:val="20"/>
              </w:rPr>
              <w:t>A flow-through share is a type of common share which allows a “principal-business corporation” to transfer the tax deductions to investors, who can apply them against their per</w:t>
            </w:r>
            <w:r>
              <w:rPr>
                <w:sz w:val="20"/>
                <w:szCs w:val="20"/>
              </w:rPr>
              <w:t xml:space="preserve">sonal or corporate income tax. </w:t>
            </w:r>
          </w:p>
        </w:tc>
        <w:tc>
          <w:tcPr>
            <w:tcW w:w="2435" w:type="dxa"/>
            <w:vAlign w:val="center"/>
          </w:tcPr>
          <w:p w14:paraId="1D91A22B" w14:textId="77777777" w:rsidR="004A12BC" w:rsidRPr="00CA5CDE" w:rsidRDefault="004A12BC" w:rsidP="004A12BC">
            <w:pPr>
              <w:jc w:val="center"/>
              <w:rPr>
                <w:b/>
                <w:sz w:val="20"/>
                <w:szCs w:val="20"/>
              </w:rPr>
            </w:pPr>
            <w:r w:rsidRPr="00CA5CDE">
              <w:rPr>
                <w:b/>
                <w:sz w:val="20"/>
                <w:szCs w:val="20"/>
              </w:rPr>
              <w:t>YES</w:t>
            </w:r>
          </w:p>
        </w:tc>
        <w:tc>
          <w:tcPr>
            <w:tcW w:w="2896" w:type="dxa"/>
          </w:tcPr>
          <w:p w14:paraId="77070816" w14:textId="02216A52" w:rsidR="004A12BC" w:rsidRPr="00CE792C" w:rsidRDefault="004A12BC" w:rsidP="004A12BC">
            <w:pPr>
              <w:rPr>
                <w:sz w:val="20"/>
                <w:szCs w:val="20"/>
              </w:rPr>
            </w:pPr>
            <w:r w:rsidRPr="001520EF">
              <w:rPr>
                <w:sz w:val="20"/>
              </w:rPr>
              <w:t>Any transaction that currently trades on a T+</w:t>
            </w:r>
            <w:r w:rsidRPr="001520EF">
              <w:rPr>
                <w:sz w:val="20"/>
                <w:szCs w:val="20"/>
              </w:rPr>
              <w:t>2</w:t>
            </w:r>
            <w:r w:rsidRPr="001520EF">
              <w:rPr>
                <w:sz w:val="20"/>
              </w:rPr>
              <w:t xml:space="preserve"> basis will transition to T+</w:t>
            </w:r>
            <w:r w:rsidRPr="001520EF">
              <w:rPr>
                <w:sz w:val="20"/>
                <w:szCs w:val="20"/>
              </w:rPr>
              <w:t>1</w:t>
            </w:r>
            <w:r w:rsidRPr="001520EF">
              <w:rPr>
                <w:sz w:val="20"/>
              </w:rPr>
              <w:t xml:space="preserve">. Current ‘special terms’ trades will </w:t>
            </w:r>
            <w:r w:rsidRPr="001520EF">
              <w:rPr>
                <w:sz w:val="20"/>
                <w:szCs w:val="20"/>
              </w:rPr>
              <w:t>stay</w:t>
            </w:r>
            <w:r w:rsidRPr="001520EF">
              <w:rPr>
                <w:sz w:val="20"/>
              </w:rPr>
              <w:t xml:space="preserve"> unchanged.</w:t>
            </w:r>
          </w:p>
        </w:tc>
      </w:tr>
      <w:tr w:rsidR="004A12BC" w:rsidRPr="001A67CD" w14:paraId="565631EF" w14:textId="77777777" w:rsidTr="0056173B">
        <w:tc>
          <w:tcPr>
            <w:tcW w:w="1981" w:type="dxa"/>
          </w:tcPr>
          <w:p w14:paraId="7650EF87" w14:textId="77777777" w:rsidR="004A12BC" w:rsidRPr="00F72133" w:rsidRDefault="004A12BC">
            <w:pPr>
              <w:pStyle w:val="ListParagraph"/>
              <w:numPr>
                <w:ilvl w:val="0"/>
                <w:numId w:val="5"/>
              </w:numPr>
              <w:rPr>
                <w:sz w:val="20"/>
                <w:szCs w:val="20"/>
              </w:rPr>
            </w:pPr>
            <w:r w:rsidRPr="00F72133">
              <w:rPr>
                <w:sz w:val="20"/>
                <w:szCs w:val="20"/>
              </w:rPr>
              <w:t>Private Shares</w:t>
            </w:r>
          </w:p>
        </w:tc>
        <w:tc>
          <w:tcPr>
            <w:tcW w:w="3759" w:type="dxa"/>
          </w:tcPr>
          <w:p w14:paraId="1A02172A" w14:textId="3B670946" w:rsidR="004A12BC" w:rsidRPr="003B26B6" w:rsidRDefault="004A12BC" w:rsidP="004A12BC">
            <w:pPr>
              <w:rPr>
                <w:sz w:val="20"/>
                <w:szCs w:val="20"/>
              </w:rPr>
            </w:pPr>
            <w:r w:rsidRPr="003B26B6">
              <w:rPr>
                <w:sz w:val="20"/>
                <w:szCs w:val="20"/>
              </w:rPr>
              <w:t xml:space="preserve">Non-publicly traded shares that may or may not have a secondary market. Includes private placements, private equity funds, and Canadian-controlled private </w:t>
            </w:r>
            <w:r w:rsidRPr="003B26B6">
              <w:rPr>
                <w:sz w:val="20"/>
                <w:szCs w:val="20"/>
              </w:rPr>
              <w:lastRenderedPageBreak/>
              <w:t>corporations (CCPCs)/Qualified Small Business Corporations (QSBCs).</w:t>
            </w:r>
          </w:p>
        </w:tc>
        <w:tc>
          <w:tcPr>
            <w:tcW w:w="2435" w:type="dxa"/>
            <w:vAlign w:val="center"/>
          </w:tcPr>
          <w:p w14:paraId="5D3F6951" w14:textId="77777777" w:rsidR="004A12BC" w:rsidRPr="00CA5CDE" w:rsidRDefault="004A12BC" w:rsidP="004A12BC">
            <w:pPr>
              <w:jc w:val="center"/>
              <w:rPr>
                <w:b/>
                <w:sz w:val="20"/>
                <w:szCs w:val="20"/>
              </w:rPr>
            </w:pPr>
            <w:r w:rsidRPr="00CA5CDE">
              <w:rPr>
                <w:b/>
                <w:sz w:val="20"/>
                <w:szCs w:val="20"/>
              </w:rPr>
              <w:lastRenderedPageBreak/>
              <w:t>YES</w:t>
            </w:r>
          </w:p>
          <w:p w14:paraId="64B83811" w14:textId="77777777" w:rsidR="004A12BC" w:rsidRPr="00CE792C" w:rsidRDefault="004A12BC" w:rsidP="004A12BC">
            <w:pPr>
              <w:jc w:val="center"/>
              <w:rPr>
                <w:sz w:val="20"/>
                <w:szCs w:val="20"/>
              </w:rPr>
            </w:pPr>
            <w:r>
              <w:rPr>
                <w:sz w:val="20"/>
                <w:szCs w:val="20"/>
              </w:rPr>
              <w:t>Only secondary</w:t>
            </w:r>
          </w:p>
          <w:p w14:paraId="0A4BD6BF" w14:textId="77777777" w:rsidR="004A12BC" w:rsidRPr="00CE792C" w:rsidRDefault="004A12BC" w:rsidP="004A12BC">
            <w:pPr>
              <w:jc w:val="center"/>
              <w:rPr>
                <w:sz w:val="20"/>
                <w:szCs w:val="20"/>
              </w:rPr>
            </w:pPr>
            <w:r w:rsidRPr="00CE792C">
              <w:rPr>
                <w:sz w:val="20"/>
                <w:szCs w:val="20"/>
              </w:rPr>
              <w:t>market trades</w:t>
            </w:r>
          </w:p>
        </w:tc>
        <w:tc>
          <w:tcPr>
            <w:tcW w:w="2896" w:type="dxa"/>
            <w:vAlign w:val="center"/>
          </w:tcPr>
          <w:p w14:paraId="1A7A0673" w14:textId="77777777" w:rsidR="004A12BC" w:rsidRPr="00CE792C" w:rsidRDefault="004A12BC" w:rsidP="004A12BC">
            <w:pPr>
              <w:rPr>
                <w:sz w:val="20"/>
                <w:szCs w:val="20"/>
              </w:rPr>
            </w:pPr>
            <w:r w:rsidRPr="00CE792C">
              <w:rPr>
                <w:sz w:val="20"/>
                <w:szCs w:val="20"/>
              </w:rPr>
              <w:t>Settlement periods and terms are agreed to by both parties at the time of transaction.</w:t>
            </w:r>
          </w:p>
        </w:tc>
      </w:tr>
      <w:tr w:rsidR="004A12BC" w:rsidRPr="001A67CD" w14:paraId="79FEE85B" w14:textId="77777777" w:rsidTr="0056173B">
        <w:tc>
          <w:tcPr>
            <w:tcW w:w="1981" w:type="dxa"/>
          </w:tcPr>
          <w:p w14:paraId="43C67497" w14:textId="77777777" w:rsidR="004A12BC" w:rsidRPr="00F72133" w:rsidRDefault="004A12BC">
            <w:pPr>
              <w:pStyle w:val="ListParagraph"/>
              <w:numPr>
                <w:ilvl w:val="0"/>
                <w:numId w:val="5"/>
              </w:numPr>
              <w:rPr>
                <w:sz w:val="20"/>
                <w:szCs w:val="20"/>
              </w:rPr>
            </w:pPr>
            <w:r w:rsidRPr="00F72133">
              <w:rPr>
                <w:sz w:val="20"/>
                <w:szCs w:val="20"/>
              </w:rPr>
              <w:t>Other Equity Products</w:t>
            </w:r>
          </w:p>
        </w:tc>
        <w:tc>
          <w:tcPr>
            <w:tcW w:w="3759" w:type="dxa"/>
          </w:tcPr>
          <w:p w14:paraId="2F73ABBC" w14:textId="67D331B0" w:rsidR="004A12BC" w:rsidRPr="00915F2F" w:rsidRDefault="004A12BC" w:rsidP="004A12BC">
            <w:pPr>
              <w:rPr>
                <w:i/>
                <w:sz w:val="20"/>
                <w:szCs w:val="20"/>
              </w:rPr>
            </w:pPr>
            <w:r w:rsidRPr="00915F2F">
              <w:rPr>
                <w:i/>
                <w:sz w:val="20"/>
                <w:szCs w:val="20"/>
              </w:rPr>
              <w:t xml:space="preserve">Placeholder for any new or unidentified products </w:t>
            </w:r>
          </w:p>
        </w:tc>
        <w:tc>
          <w:tcPr>
            <w:tcW w:w="2435" w:type="dxa"/>
            <w:vAlign w:val="center"/>
          </w:tcPr>
          <w:p w14:paraId="03900DD6" w14:textId="77777777" w:rsidR="004A12BC" w:rsidRPr="00CE792C" w:rsidRDefault="004A12BC" w:rsidP="004A12BC">
            <w:pPr>
              <w:jc w:val="center"/>
              <w:rPr>
                <w:sz w:val="20"/>
                <w:szCs w:val="20"/>
              </w:rPr>
            </w:pPr>
          </w:p>
        </w:tc>
        <w:tc>
          <w:tcPr>
            <w:tcW w:w="2896" w:type="dxa"/>
          </w:tcPr>
          <w:p w14:paraId="486F899B" w14:textId="77777777" w:rsidR="004A12BC" w:rsidRPr="00CE792C" w:rsidRDefault="004A12BC" w:rsidP="004A12BC">
            <w:pPr>
              <w:rPr>
                <w:sz w:val="20"/>
                <w:szCs w:val="20"/>
              </w:rPr>
            </w:pPr>
          </w:p>
        </w:tc>
      </w:tr>
      <w:tr w:rsidR="004A12BC" w:rsidRPr="001A67CD" w14:paraId="786E1196" w14:textId="77777777" w:rsidTr="0056173B">
        <w:tc>
          <w:tcPr>
            <w:tcW w:w="11071" w:type="dxa"/>
            <w:gridSpan w:val="4"/>
          </w:tcPr>
          <w:p w14:paraId="4324DE39" w14:textId="77777777" w:rsidR="004A12BC" w:rsidRPr="00DA6EA8" w:rsidRDefault="004A12BC" w:rsidP="008A38E7">
            <w:pPr>
              <w:keepNext/>
              <w:keepLines/>
              <w:jc w:val="center"/>
              <w:rPr>
                <w:b/>
                <w:color w:val="FF0000"/>
                <w:sz w:val="24"/>
              </w:rPr>
            </w:pPr>
            <w:r w:rsidRPr="00DA6EA8">
              <w:rPr>
                <w:b/>
                <w:color w:val="FF0000"/>
                <w:sz w:val="24"/>
              </w:rPr>
              <w:t>Balanced Mandates</w:t>
            </w:r>
          </w:p>
        </w:tc>
      </w:tr>
      <w:tr w:rsidR="004A12BC" w:rsidRPr="001A67CD" w14:paraId="77AF19D1" w14:textId="77777777" w:rsidTr="0056173B">
        <w:trPr>
          <w:trHeight w:val="1916"/>
        </w:trPr>
        <w:tc>
          <w:tcPr>
            <w:tcW w:w="1981" w:type="dxa"/>
          </w:tcPr>
          <w:p w14:paraId="31A5A260" w14:textId="77777777" w:rsidR="004A12BC" w:rsidRPr="00DA6EA8" w:rsidRDefault="004A12BC">
            <w:pPr>
              <w:pStyle w:val="ListParagraph"/>
              <w:numPr>
                <w:ilvl w:val="0"/>
                <w:numId w:val="5"/>
              </w:numPr>
              <w:rPr>
                <w:sz w:val="20"/>
              </w:rPr>
            </w:pPr>
            <w:r w:rsidRPr="00DA6EA8">
              <w:rPr>
                <w:sz w:val="20"/>
              </w:rPr>
              <w:t>Balanced Funds</w:t>
            </w:r>
            <w:r w:rsidRPr="00F72133">
              <w:rPr>
                <w:sz w:val="20"/>
                <w:szCs w:val="20"/>
              </w:rPr>
              <w:t xml:space="preserve"> </w:t>
            </w:r>
          </w:p>
        </w:tc>
        <w:tc>
          <w:tcPr>
            <w:tcW w:w="3759" w:type="dxa"/>
          </w:tcPr>
          <w:p w14:paraId="3A531285" w14:textId="3CA6D2A0" w:rsidR="004A12BC" w:rsidRPr="00DA6EA8" w:rsidRDefault="004A12BC" w:rsidP="004A12BC">
            <w:pPr>
              <w:keepNext/>
              <w:keepLines/>
              <w:rPr>
                <w:sz w:val="20"/>
              </w:rPr>
            </w:pPr>
            <w:r w:rsidRPr="00DA6EA8">
              <w:rPr>
                <w:sz w:val="20"/>
              </w:rPr>
              <w:t xml:space="preserve">To avoid any mismanaged expectations for the unitholder, if a fund mandate is balanced, that is, the fund may contain a moving target allocation split across multiple sub-types (e.g., between Equity and Fixed Income) then it is best to single such holdings out through a discrete </w:t>
            </w:r>
            <w:r w:rsidRPr="009223B5">
              <w:rPr>
                <w:sz w:val="20"/>
                <w:szCs w:val="20"/>
              </w:rPr>
              <w:t>sub-type</w:t>
            </w:r>
            <w:r w:rsidRPr="00DA6EA8">
              <w:rPr>
                <w:sz w:val="20"/>
              </w:rPr>
              <w:t xml:space="preserve"> so that the end client is well aware that the holding may move between various types at any point in time.</w:t>
            </w:r>
            <w:r w:rsidRPr="009223B5">
              <w:rPr>
                <w:sz w:val="20"/>
                <w:szCs w:val="20"/>
              </w:rPr>
              <w:t xml:space="preserve">  </w:t>
            </w:r>
          </w:p>
        </w:tc>
        <w:tc>
          <w:tcPr>
            <w:tcW w:w="2435" w:type="dxa"/>
            <w:vAlign w:val="center"/>
          </w:tcPr>
          <w:p w14:paraId="1FFA4366" w14:textId="3356BF25" w:rsidR="004A12BC" w:rsidRPr="008A38E7" w:rsidRDefault="004A12BC" w:rsidP="008A38E7">
            <w:pPr>
              <w:jc w:val="center"/>
              <w:rPr>
                <w:b/>
                <w:sz w:val="20"/>
                <w:highlight w:val="yellow"/>
              </w:rPr>
            </w:pPr>
            <w:r>
              <w:rPr>
                <w:b/>
                <w:bCs/>
                <w:sz w:val="20"/>
                <w:szCs w:val="20"/>
                <w:highlight w:val="yellow"/>
              </w:rPr>
              <w:t>Under review by the mutual funds industry; s</w:t>
            </w:r>
            <w:r w:rsidRPr="001E30BC">
              <w:rPr>
                <w:b/>
                <w:bCs/>
                <w:sz w:val="20"/>
                <w:szCs w:val="20"/>
                <w:highlight w:val="yellow"/>
              </w:rPr>
              <w:t xml:space="preserve">ee </w:t>
            </w:r>
            <w:r w:rsidRPr="007E27EB">
              <w:rPr>
                <w:b/>
                <w:bCs/>
                <w:sz w:val="20"/>
                <w:szCs w:val="20"/>
                <w:highlight w:val="yellow"/>
              </w:rPr>
              <w:t>separate Funds table below</w:t>
            </w:r>
            <w:r w:rsidRPr="007E27EB" w:rsidDel="00561ECC">
              <w:rPr>
                <w:b/>
                <w:bCs/>
                <w:sz w:val="20"/>
                <w:szCs w:val="20"/>
                <w:highlight w:val="yellow"/>
              </w:rPr>
              <w:t xml:space="preserve"> </w:t>
            </w:r>
          </w:p>
        </w:tc>
        <w:tc>
          <w:tcPr>
            <w:tcW w:w="2896" w:type="dxa"/>
            <w:vAlign w:val="center"/>
          </w:tcPr>
          <w:p w14:paraId="5EF853AE" w14:textId="21EFB8D9" w:rsidR="004A12BC" w:rsidRPr="008A38E7" w:rsidRDefault="004A12BC" w:rsidP="008A38E7">
            <w:pPr>
              <w:jc w:val="center"/>
              <w:rPr>
                <w:b/>
                <w:sz w:val="20"/>
                <w:highlight w:val="yellow"/>
              </w:rPr>
            </w:pPr>
            <w:r w:rsidRPr="008A38E7">
              <w:rPr>
                <w:b/>
                <w:sz w:val="20"/>
                <w:highlight w:val="yellow"/>
              </w:rPr>
              <w:t xml:space="preserve">See </w:t>
            </w:r>
            <w:r w:rsidRPr="007E27EB">
              <w:rPr>
                <w:b/>
                <w:bCs/>
                <w:sz w:val="20"/>
                <w:szCs w:val="20"/>
                <w:highlight w:val="yellow"/>
              </w:rPr>
              <w:t>separate Funds table below</w:t>
            </w:r>
          </w:p>
        </w:tc>
      </w:tr>
      <w:tr w:rsidR="004A12BC" w:rsidRPr="005B5827" w14:paraId="71F9BDBC" w14:textId="77777777" w:rsidTr="0056173B">
        <w:tc>
          <w:tcPr>
            <w:tcW w:w="11071" w:type="dxa"/>
            <w:gridSpan w:val="4"/>
          </w:tcPr>
          <w:p w14:paraId="137E5E71" w14:textId="77777777" w:rsidR="004A12BC" w:rsidRPr="00DA6EA8" w:rsidRDefault="004A12BC" w:rsidP="008A38E7">
            <w:pPr>
              <w:keepNext/>
              <w:keepLines/>
              <w:jc w:val="center"/>
              <w:rPr>
                <w:b/>
                <w:color w:val="FF0000"/>
                <w:sz w:val="24"/>
              </w:rPr>
            </w:pPr>
            <w:r w:rsidRPr="00DA6EA8">
              <w:rPr>
                <w:b/>
                <w:color w:val="FF0000"/>
                <w:sz w:val="24"/>
              </w:rPr>
              <w:t>Alternative Investments</w:t>
            </w:r>
          </w:p>
        </w:tc>
      </w:tr>
      <w:tr w:rsidR="004A12BC" w:rsidRPr="001A67CD" w14:paraId="30B87BAE" w14:textId="77777777" w:rsidTr="0056173B">
        <w:tc>
          <w:tcPr>
            <w:tcW w:w="1981" w:type="dxa"/>
          </w:tcPr>
          <w:p w14:paraId="14F0C757" w14:textId="77777777" w:rsidR="004A12BC" w:rsidRPr="00DA6EA8" w:rsidRDefault="004A12BC">
            <w:pPr>
              <w:pStyle w:val="ListParagraph"/>
              <w:numPr>
                <w:ilvl w:val="0"/>
                <w:numId w:val="5"/>
              </w:numPr>
              <w:rPr>
                <w:sz w:val="20"/>
              </w:rPr>
            </w:pPr>
            <w:r w:rsidRPr="00DA6EA8">
              <w:rPr>
                <w:sz w:val="20"/>
              </w:rPr>
              <w:t>Physical Commodities</w:t>
            </w:r>
          </w:p>
        </w:tc>
        <w:tc>
          <w:tcPr>
            <w:tcW w:w="3759" w:type="dxa"/>
          </w:tcPr>
          <w:p w14:paraId="741C19C3" w14:textId="77777777" w:rsidR="004A12BC" w:rsidRPr="008A38E7" w:rsidRDefault="004A12BC" w:rsidP="008A38E7">
            <w:pPr>
              <w:rPr>
                <w:sz w:val="20"/>
              </w:rPr>
            </w:pPr>
            <w:r w:rsidRPr="008A38E7">
              <w:rPr>
                <w:sz w:val="20"/>
              </w:rPr>
              <w:t>Direct ownership (e.g., of gold, silver, other precious metals, rare earth metals, etc.).</w:t>
            </w:r>
            <w:r>
              <w:rPr>
                <w:sz w:val="20"/>
                <w:szCs w:val="20"/>
              </w:rPr>
              <w:t xml:space="preserve">  </w:t>
            </w:r>
          </w:p>
        </w:tc>
        <w:tc>
          <w:tcPr>
            <w:tcW w:w="2435" w:type="dxa"/>
            <w:vAlign w:val="center"/>
          </w:tcPr>
          <w:p w14:paraId="751540C7" w14:textId="77777777" w:rsidR="004A12BC" w:rsidRPr="00DA6EA8" w:rsidRDefault="004A12BC" w:rsidP="008A38E7">
            <w:pPr>
              <w:keepNext/>
              <w:keepLines/>
              <w:jc w:val="center"/>
              <w:rPr>
                <w:sz w:val="20"/>
              </w:rPr>
            </w:pPr>
            <w:r w:rsidRPr="00DA6EA8">
              <w:rPr>
                <w:sz w:val="20"/>
              </w:rPr>
              <w:t>NO</w:t>
            </w:r>
          </w:p>
        </w:tc>
        <w:tc>
          <w:tcPr>
            <w:tcW w:w="2896" w:type="dxa"/>
            <w:vAlign w:val="center"/>
          </w:tcPr>
          <w:p w14:paraId="4B6304B5" w14:textId="77777777" w:rsidR="004A12BC" w:rsidRPr="00DA6EA8" w:rsidRDefault="004A12BC" w:rsidP="008A38E7">
            <w:pPr>
              <w:rPr>
                <w:sz w:val="20"/>
              </w:rPr>
            </w:pPr>
            <w:r w:rsidRPr="00DA6EA8">
              <w:rPr>
                <w:sz w:val="20"/>
              </w:rPr>
              <w:t>Not a security</w:t>
            </w:r>
          </w:p>
        </w:tc>
      </w:tr>
      <w:tr w:rsidR="004A12BC" w:rsidRPr="001A67CD" w14:paraId="51B7E5AB" w14:textId="77777777" w:rsidTr="0056173B">
        <w:tc>
          <w:tcPr>
            <w:tcW w:w="1981" w:type="dxa"/>
          </w:tcPr>
          <w:p w14:paraId="73DF49D6" w14:textId="77777777" w:rsidR="004A12BC" w:rsidRDefault="004A12BC">
            <w:pPr>
              <w:pStyle w:val="ListParagraph"/>
              <w:numPr>
                <w:ilvl w:val="0"/>
                <w:numId w:val="5"/>
              </w:numPr>
              <w:rPr>
                <w:sz w:val="20"/>
                <w:szCs w:val="20"/>
              </w:rPr>
            </w:pPr>
            <w:r>
              <w:rPr>
                <w:sz w:val="20"/>
                <w:szCs w:val="20"/>
              </w:rPr>
              <w:t>Exchange-traded Receipts (ETRs)</w:t>
            </w:r>
          </w:p>
        </w:tc>
        <w:tc>
          <w:tcPr>
            <w:tcW w:w="3759" w:type="dxa"/>
          </w:tcPr>
          <w:p w14:paraId="58208C61" w14:textId="77777777" w:rsidR="004A12BC" w:rsidRPr="005271B8" w:rsidRDefault="004A12BC" w:rsidP="00932B76">
            <w:pPr>
              <w:rPr>
                <w:sz w:val="20"/>
                <w:szCs w:val="20"/>
              </w:rPr>
            </w:pPr>
            <w:r w:rsidRPr="005271B8">
              <w:rPr>
                <w:sz w:val="20"/>
                <w:szCs w:val="20"/>
              </w:rPr>
              <w:t>Issued by the Royal Canadian Mint; are traded on the stock exchange, or once a month they can redeem them for gold coins or bullion.</w:t>
            </w:r>
          </w:p>
        </w:tc>
        <w:tc>
          <w:tcPr>
            <w:tcW w:w="2435" w:type="dxa"/>
            <w:vAlign w:val="center"/>
          </w:tcPr>
          <w:p w14:paraId="73B645F8" w14:textId="77777777" w:rsidR="004A12BC" w:rsidRPr="005E7942" w:rsidRDefault="004A12BC" w:rsidP="00932B76">
            <w:pPr>
              <w:keepNext/>
              <w:keepLines/>
              <w:jc w:val="center"/>
              <w:rPr>
                <w:b/>
                <w:bCs/>
                <w:sz w:val="20"/>
                <w:szCs w:val="20"/>
              </w:rPr>
            </w:pPr>
            <w:r w:rsidRPr="005271B8">
              <w:rPr>
                <w:b/>
                <w:bCs/>
                <w:sz w:val="20"/>
                <w:szCs w:val="20"/>
              </w:rPr>
              <w:t>YES</w:t>
            </w:r>
          </w:p>
        </w:tc>
        <w:tc>
          <w:tcPr>
            <w:tcW w:w="2896" w:type="dxa"/>
            <w:vAlign w:val="center"/>
          </w:tcPr>
          <w:p w14:paraId="32A7280A" w14:textId="77777777" w:rsidR="004A12BC" w:rsidRPr="007D327D" w:rsidRDefault="004A12BC" w:rsidP="00932B76">
            <w:pPr>
              <w:rPr>
                <w:sz w:val="20"/>
                <w:szCs w:val="20"/>
              </w:rPr>
            </w:pPr>
            <w:r>
              <w:rPr>
                <w:sz w:val="20"/>
                <w:szCs w:val="20"/>
              </w:rPr>
              <w:t>New product.  Redemption for gold coins or bullion out of scope.</w:t>
            </w:r>
          </w:p>
        </w:tc>
      </w:tr>
      <w:tr w:rsidR="004A12BC" w:rsidRPr="001A67CD" w14:paraId="28FE2D23" w14:textId="77777777" w:rsidTr="0056173B">
        <w:tc>
          <w:tcPr>
            <w:tcW w:w="1981" w:type="dxa"/>
          </w:tcPr>
          <w:p w14:paraId="306D9994" w14:textId="77777777" w:rsidR="004A12BC" w:rsidRPr="00F72133" w:rsidRDefault="004A12BC">
            <w:pPr>
              <w:pStyle w:val="ListParagraph"/>
              <w:numPr>
                <w:ilvl w:val="0"/>
                <w:numId w:val="5"/>
              </w:numPr>
              <w:rPr>
                <w:sz w:val="20"/>
                <w:szCs w:val="20"/>
              </w:rPr>
            </w:pPr>
            <w:r w:rsidRPr="00F72133">
              <w:rPr>
                <w:sz w:val="20"/>
                <w:szCs w:val="20"/>
              </w:rPr>
              <w:t>Segregated Funds</w:t>
            </w:r>
          </w:p>
        </w:tc>
        <w:tc>
          <w:tcPr>
            <w:tcW w:w="3759" w:type="dxa"/>
          </w:tcPr>
          <w:p w14:paraId="77A994A9" w14:textId="77777777" w:rsidR="004A12BC" w:rsidRPr="003B26B6" w:rsidRDefault="004A12BC" w:rsidP="004A12BC">
            <w:pPr>
              <w:rPr>
                <w:sz w:val="20"/>
                <w:szCs w:val="20"/>
              </w:rPr>
            </w:pPr>
            <w:r w:rsidRPr="009223B5">
              <w:rPr>
                <w:sz w:val="20"/>
                <w:szCs w:val="20"/>
              </w:rPr>
              <w:t xml:space="preserve">A type of pooled investment that is similar to a mutual fund, but is considered an insurance product. Proceeds received by the insurance company are used to purchase underlying assets that may cross sub-types, and then </w:t>
            </w:r>
            <w:r>
              <w:rPr>
                <w:sz w:val="20"/>
                <w:szCs w:val="20"/>
              </w:rPr>
              <w:t>units</w:t>
            </w:r>
            <w:r w:rsidRPr="009223B5">
              <w:rPr>
                <w:sz w:val="20"/>
                <w:szCs w:val="20"/>
              </w:rPr>
              <w:t xml:space="preserve"> of the segregated funds are sold to investors. Segregated funds may guarantee a specific return over the life of the investment or upon maturity of the fund.</w:t>
            </w:r>
          </w:p>
        </w:tc>
        <w:tc>
          <w:tcPr>
            <w:tcW w:w="2435" w:type="dxa"/>
            <w:vAlign w:val="center"/>
          </w:tcPr>
          <w:p w14:paraId="3FB905B0" w14:textId="51B0B56B" w:rsidR="004A12BC" w:rsidRPr="007E27EB" w:rsidRDefault="004A12BC" w:rsidP="004A12BC">
            <w:pPr>
              <w:jc w:val="center"/>
              <w:rPr>
                <w:b/>
                <w:bCs/>
                <w:sz w:val="20"/>
                <w:szCs w:val="20"/>
              </w:rPr>
            </w:pPr>
            <w:r>
              <w:rPr>
                <w:b/>
                <w:bCs/>
                <w:sz w:val="20"/>
                <w:szCs w:val="20"/>
              </w:rPr>
              <w:t>May vary</w:t>
            </w:r>
          </w:p>
        </w:tc>
        <w:tc>
          <w:tcPr>
            <w:tcW w:w="2896" w:type="dxa"/>
            <w:vAlign w:val="center"/>
          </w:tcPr>
          <w:p w14:paraId="381C192A" w14:textId="0C69C3F5" w:rsidR="004A12BC" w:rsidRPr="002655A6" w:rsidRDefault="004A12BC" w:rsidP="004A12BC">
            <w:pPr>
              <w:rPr>
                <w:sz w:val="20"/>
                <w:szCs w:val="20"/>
              </w:rPr>
            </w:pPr>
          </w:p>
        </w:tc>
      </w:tr>
      <w:tr w:rsidR="004A12BC" w:rsidRPr="001A67CD" w14:paraId="6C44E355" w14:textId="77777777" w:rsidTr="0056173B">
        <w:tc>
          <w:tcPr>
            <w:tcW w:w="1981" w:type="dxa"/>
          </w:tcPr>
          <w:p w14:paraId="3A165921" w14:textId="77777777" w:rsidR="004A12BC" w:rsidRPr="00F72133" w:rsidRDefault="004A12BC">
            <w:pPr>
              <w:pStyle w:val="ListParagraph"/>
              <w:numPr>
                <w:ilvl w:val="0"/>
                <w:numId w:val="5"/>
              </w:numPr>
              <w:rPr>
                <w:sz w:val="20"/>
                <w:szCs w:val="20"/>
              </w:rPr>
            </w:pPr>
            <w:r w:rsidRPr="00F72133">
              <w:rPr>
                <w:sz w:val="20"/>
                <w:szCs w:val="20"/>
              </w:rPr>
              <w:t>Leveraged Investments</w:t>
            </w:r>
          </w:p>
        </w:tc>
        <w:tc>
          <w:tcPr>
            <w:tcW w:w="3759" w:type="dxa"/>
          </w:tcPr>
          <w:p w14:paraId="0666106C" w14:textId="77777777" w:rsidR="004A12BC" w:rsidRPr="003B26B6" w:rsidRDefault="004A12BC" w:rsidP="004A12BC">
            <w:pPr>
              <w:rPr>
                <w:sz w:val="20"/>
                <w:szCs w:val="20"/>
              </w:rPr>
            </w:pPr>
            <w:r w:rsidRPr="009223B5">
              <w:rPr>
                <w:sz w:val="20"/>
                <w:szCs w:val="20"/>
              </w:rPr>
              <w:t>Investments that rely principally on leverage. That includes split capital shares, Le</w:t>
            </w:r>
            <w:r>
              <w:rPr>
                <w:sz w:val="20"/>
                <w:szCs w:val="20"/>
              </w:rPr>
              <w:t xml:space="preserve">veraged ETFs and Inverse ETFs. </w:t>
            </w:r>
          </w:p>
        </w:tc>
        <w:tc>
          <w:tcPr>
            <w:tcW w:w="2435" w:type="dxa"/>
            <w:vAlign w:val="center"/>
          </w:tcPr>
          <w:p w14:paraId="1490B303" w14:textId="77777777" w:rsidR="004A12BC" w:rsidRPr="007E27EB" w:rsidRDefault="004A12BC" w:rsidP="004A12BC">
            <w:pPr>
              <w:jc w:val="center"/>
              <w:rPr>
                <w:b/>
                <w:bCs/>
                <w:sz w:val="20"/>
                <w:szCs w:val="20"/>
              </w:rPr>
            </w:pPr>
            <w:r w:rsidRPr="007E27EB">
              <w:rPr>
                <w:b/>
                <w:bCs/>
                <w:sz w:val="20"/>
                <w:szCs w:val="20"/>
              </w:rPr>
              <w:t>YES</w:t>
            </w:r>
          </w:p>
        </w:tc>
        <w:tc>
          <w:tcPr>
            <w:tcW w:w="2896" w:type="dxa"/>
            <w:vAlign w:val="center"/>
          </w:tcPr>
          <w:p w14:paraId="0E304146" w14:textId="67D9010B" w:rsidR="004A12BC" w:rsidRPr="00CE792C" w:rsidRDefault="004A12BC" w:rsidP="004A12BC">
            <w:pPr>
              <w:rPr>
                <w:sz w:val="20"/>
                <w:szCs w:val="20"/>
              </w:rPr>
            </w:pPr>
          </w:p>
        </w:tc>
      </w:tr>
      <w:tr w:rsidR="000D4B11" w:rsidRPr="001A67CD" w14:paraId="5E3973D8" w14:textId="77777777" w:rsidTr="0056173B">
        <w:tc>
          <w:tcPr>
            <w:tcW w:w="1981" w:type="dxa"/>
            <w:vMerge w:val="restart"/>
          </w:tcPr>
          <w:p w14:paraId="29D229F8" w14:textId="77777777" w:rsidR="000D4B11" w:rsidRPr="00F72133" w:rsidRDefault="000D4B11">
            <w:pPr>
              <w:pStyle w:val="ListParagraph"/>
              <w:numPr>
                <w:ilvl w:val="0"/>
                <w:numId w:val="5"/>
              </w:numPr>
              <w:rPr>
                <w:sz w:val="20"/>
                <w:szCs w:val="20"/>
              </w:rPr>
            </w:pPr>
            <w:r w:rsidRPr="00F72133">
              <w:rPr>
                <w:sz w:val="20"/>
                <w:szCs w:val="20"/>
              </w:rPr>
              <w:t>Derivatives</w:t>
            </w:r>
          </w:p>
        </w:tc>
        <w:tc>
          <w:tcPr>
            <w:tcW w:w="3759" w:type="dxa"/>
          </w:tcPr>
          <w:p w14:paraId="7EA0CCC2" w14:textId="77777777" w:rsidR="000D4B11" w:rsidRPr="009223B5" w:rsidRDefault="000D4B11" w:rsidP="004A12BC">
            <w:pPr>
              <w:rPr>
                <w:sz w:val="20"/>
                <w:szCs w:val="20"/>
              </w:rPr>
            </w:pPr>
            <w:r w:rsidRPr="009223B5">
              <w:rPr>
                <w:sz w:val="20"/>
                <w:szCs w:val="20"/>
              </w:rPr>
              <w:t>A financial instrument whose value is based on one or more underlying assets. In practice, it is a contract between two parties that specifies conditions (especially the dates, resulting values of the underlying variables, and notional amounts) under which payments are to be made between the parties. The most comm</w:t>
            </w:r>
            <w:r>
              <w:rPr>
                <w:sz w:val="20"/>
                <w:szCs w:val="20"/>
              </w:rPr>
              <w:t>on types of derivatives are:</w:t>
            </w:r>
          </w:p>
        </w:tc>
        <w:tc>
          <w:tcPr>
            <w:tcW w:w="2435" w:type="dxa"/>
            <w:vAlign w:val="center"/>
          </w:tcPr>
          <w:p w14:paraId="79DC1B1F" w14:textId="77777777" w:rsidR="000D4B11" w:rsidRPr="00CE792C" w:rsidRDefault="000D4B11" w:rsidP="004A12BC">
            <w:pPr>
              <w:jc w:val="center"/>
              <w:rPr>
                <w:sz w:val="20"/>
                <w:szCs w:val="20"/>
              </w:rPr>
            </w:pPr>
          </w:p>
        </w:tc>
        <w:tc>
          <w:tcPr>
            <w:tcW w:w="2896" w:type="dxa"/>
            <w:vAlign w:val="center"/>
          </w:tcPr>
          <w:p w14:paraId="0C095CCA" w14:textId="5D6F6BF1" w:rsidR="000D4B11" w:rsidRPr="00CE792C" w:rsidRDefault="000D4B11" w:rsidP="004A12BC">
            <w:pPr>
              <w:rPr>
                <w:sz w:val="20"/>
                <w:szCs w:val="20"/>
              </w:rPr>
            </w:pPr>
            <w:r w:rsidRPr="008C288D">
              <w:rPr>
                <w:b/>
                <w:sz w:val="20"/>
                <w:szCs w:val="20"/>
              </w:rPr>
              <w:t>Note:</w:t>
            </w:r>
            <w:r>
              <w:rPr>
                <w:sz w:val="20"/>
                <w:szCs w:val="20"/>
              </w:rPr>
              <w:t xml:space="preserve">  </w:t>
            </w:r>
            <w:r w:rsidRPr="00C34D00">
              <w:rPr>
                <w:sz w:val="20"/>
                <w:szCs w:val="20"/>
              </w:rPr>
              <w:t>Exchange-traded derivatives (options, futures, etc.) are out-of-scope for T+</w:t>
            </w:r>
            <w:r>
              <w:rPr>
                <w:sz w:val="20"/>
                <w:szCs w:val="20"/>
              </w:rPr>
              <w:t>1</w:t>
            </w:r>
            <w:r w:rsidRPr="00C34D00">
              <w:rPr>
                <w:sz w:val="20"/>
                <w:szCs w:val="20"/>
              </w:rPr>
              <w:t xml:space="preserve">, but exercises and assignments of these derivatives are </w:t>
            </w:r>
            <w:r w:rsidRPr="00695FC9">
              <w:rPr>
                <w:i/>
                <w:sz w:val="20"/>
                <w:szCs w:val="20"/>
              </w:rPr>
              <w:t>in</w:t>
            </w:r>
            <w:r w:rsidRPr="00C34D00">
              <w:rPr>
                <w:sz w:val="20"/>
                <w:szCs w:val="20"/>
              </w:rPr>
              <w:t xml:space="preserve"> scope and reported to CDS for settlement</w:t>
            </w:r>
            <w:r>
              <w:rPr>
                <w:sz w:val="20"/>
                <w:szCs w:val="20"/>
              </w:rPr>
              <w:t xml:space="preserve"> and will move to T+1 if the underly</w:t>
            </w:r>
            <w:r w:rsidRPr="00F31A9A">
              <w:rPr>
                <w:sz w:val="20"/>
                <w:szCs w:val="20"/>
              </w:rPr>
              <w:t>ing security do</w:t>
            </w:r>
            <w:r>
              <w:rPr>
                <w:sz w:val="20"/>
                <w:szCs w:val="20"/>
              </w:rPr>
              <w:t>es</w:t>
            </w:r>
            <w:r w:rsidRPr="00F31A9A">
              <w:rPr>
                <w:sz w:val="20"/>
                <w:szCs w:val="20"/>
              </w:rPr>
              <w:t>.</w:t>
            </w:r>
          </w:p>
        </w:tc>
      </w:tr>
      <w:tr w:rsidR="000D4B11" w:rsidRPr="001A67CD" w14:paraId="37FC29F7" w14:textId="77777777" w:rsidTr="0056173B">
        <w:tc>
          <w:tcPr>
            <w:tcW w:w="1981" w:type="dxa"/>
            <w:vMerge/>
          </w:tcPr>
          <w:p w14:paraId="5D1E03BA" w14:textId="77777777" w:rsidR="000D4B11" w:rsidRPr="008A38E7" w:rsidRDefault="000D4B11">
            <w:pPr>
              <w:pStyle w:val="ListParagraph"/>
              <w:numPr>
                <w:ilvl w:val="0"/>
                <w:numId w:val="5"/>
              </w:numPr>
              <w:rPr>
                <w:sz w:val="20"/>
              </w:rPr>
            </w:pPr>
            <w:bookmarkStart w:id="4" w:name="_Hlk109302331"/>
          </w:p>
        </w:tc>
        <w:tc>
          <w:tcPr>
            <w:tcW w:w="3759" w:type="dxa"/>
          </w:tcPr>
          <w:p w14:paraId="6381E3BD" w14:textId="77777777" w:rsidR="000D4B11" w:rsidRPr="00DA6EA8" w:rsidRDefault="000D4B11" w:rsidP="000D4B11">
            <w:pPr>
              <w:pStyle w:val="ListParagraph"/>
              <w:numPr>
                <w:ilvl w:val="0"/>
                <w:numId w:val="3"/>
              </w:numPr>
              <w:rPr>
                <w:sz w:val="20"/>
              </w:rPr>
            </w:pPr>
            <w:r w:rsidRPr="00DA6EA8">
              <w:rPr>
                <w:sz w:val="20"/>
              </w:rPr>
              <w:t>Forwards</w:t>
            </w:r>
          </w:p>
        </w:tc>
        <w:tc>
          <w:tcPr>
            <w:tcW w:w="2435" w:type="dxa"/>
            <w:vAlign w:val="center"/>
          </w:tcPr>
          <w:p w14:paraId="090ABC74" w14:textId="77777777" w:rsidR="000D4B11" w:rsidRPr="00DA6EA8" w:rsidRDefault="000D4B11" w:rsidP="000D4B11">
            <w:pPr>
              <w:jc w:val="center"/>
              <w:rPr>
                <w:sz w:val="20"/>
              </w:rPr>
            </w:pPr>
            <w:r w:rsidRPr="00DA6EA8">
              <w:rPr>
                <w:sz w:val="20"/>
              </w:rPr>
              <w:t>NO</w:t>
            </w:r>
          </w:p>
        </w:tc>
        <w:tc>
          <w:tcPr>
            <w:tcW w:w="2896" w:type="dxa"/>
            <w:vAlign w:val="center"/>
          </w:tcPr>
          <w:p w14:paraId="7BEC6C1A" w14:textId="77777777" w:rsidR="000D4B11" w:rsidRPr="00DA6EA8" w:rsidRDefault="000D4B11" w:rsidP="000D4B11">
            <w:pPr>
              <w:rPr>
                <w:sz w:val="20"/>
              </w:rPr>
            </w:pPr>
            <w:r w:rsidRPr="00DA6EA8">
              <w:rPr>
                <w:sz w:val="20"/>
              </w:rPr>
              <w:t>T+1 today</w:t>
            </w:r>
          </w:p>
        </w:tc>
      </w:tr>
      <w:tr w:rsidR="000D4B11" w:rsidRPr="001A67CD" w14:paraId="50E9B509" w14:textId="77777777" w:rsidTr="0056173B">
        <w:tc>
          <w:tcPr>
            <w:tcW w:w="1981" w:type="dxa"/>
            <w:vMerge/>
          </w:tcPr>
          <w:p w14:paraId="5FE2C0C5" w14:textId="77777777" w:rsidR="000D4B11" w:rsidRPr="00DA6EA8" w:rsidRDefault="000D4B11">
            <w:pPr>
              <w:pStyle w:val="ListParagraph"/>
              <w:numPr>
                <w:ilvl w:val="0"/>
                <w:numId w:val="5"/>
              </w:numPr>
              <w:rPr>
                <w:sz w:val="20"/>
              </w:rPr>
            </w:pPr>
          </w:p>
        </w:tc>
        <w:tc>
          <w:tcPr>
            <w:tcW w:w="3759" w:type="dxa"/>
          </w:tcPr>
          <w:p w14:paraId="190A2FD1" w14:textId="77777777" w:rsidR="000D4B11" w:rsidRPr="00DA6EA8" w:rsidRDefault="000D4B11" w:rsidP="000D4B11">
            <w:pPr>
              <w:pStyle w:val="ListParagraph"/>
              <w:numPr>
                <w:ilvl w:val="0"/>
                <w:numId w:val="3"/>
              </w:numPr>
              <w:rPr>
                <w:sz w:val="20"/>
              </w:rPr>
            </w:pPr>
            <w:r w:rsidRPr="00DA6EA8">
              <w:rPr>
                <w:sz w:val="20"/>
              </w:rPr>
              <w:t>Futures</w:t>
            </w:r>
            <w:r w:rsidRPr="009223B5">
              <w:rPr>
                <w:sz w:val="20"/>
                <w:szCs w:val="20"/>
              </w:rPr>
              <w:t xml:space="preserve"> </w:t>
            </w:r>
          </w:p>
        </w:tc>
        <w:tc>
          <w:tcPr>
            <w:tcW w:w="2435" w:type="dxa"/>
            <w:vAlign w:val="center"/>
          </w:tcPr>
          <w:p w14:paraId="36D92E22" w14:textId="04931E79" w:rsidR="000D4B11" w:rsidRPr="00DA6EA8" w:rsidRDefault="00144B3D" w:rsidP="000D4B11">
            <w:pPr>
              <w:jc w:val="center"/>
              <w:rPr>
                <w:sz w:val="20"/>
              </w:rPr>
            </w:pPr>
            <w:r>
              <w:rPr>
                <w:rFonts w:cs="Times New Roman"/>
                <w:sz w:val="20"/>
                <w:szCs w:val="24"/>
              </w:rPr>
              <w:t xml:space="preserve">NO </w:t>
            </w:r>
          </w:p>
        </w:tc>
        <w:tc>
          <w:tcPr>
            <w:tcW w:w="2896" w:type="dxa"/>
            <w:vAlign w:val="center"/>
          </w:tcPr>
          <w:p w14:paraId="44CB9396" w14:textId="77777777" w:rsidR="000D4B11" w:rsidRPr="00DA6EA8" w:rsidRDefault="000D4B11" w:rsidP="000D4B11">
            <w:pPr>
              <w:rPr>
                <w:sz w:val="20"/>
              </w:rPr>
            </w:pPr>
            <w:r w:rsidRPr="00DA6EA8">
              <w:rPr>
                <w:sz w:val="20"/>
              </w:rPr>
              <w:t>T+1 today</w:t>
            </w:r>
          </w:p>
        </w:tc>
      </w:tr>
      <w:tr w:rsidR="000D4B11" w:rsidRPr="001A67CD" w14:paraId="1288DA8F" w14:textId="77777777" w:rsidTr="0056173B">
        <w:tc>
          <w:tcPr>
            <w:tcW w:w="1981" w:type="dxa"/>
            <w:vMerge/>
          </w:tcPr>
          <w:p w14:paraId="30D3086A" w14:textId="77777777" w:rsidR="000D4B11" w:rsidRPr="00DA6EA8" w:rsidRDefault="000D4B11">
            <w:pPr>
              <w:pStyle w:val="ListParagraph"/>
              <w:numPr>
                <w:ilvl w:val="0"/>
                <w:numId w:val="5"/>
              </w:numPr>
              <w:rPr>
                <w:sz w:val="20"/>
              </w:rPr>
            </w:pPr>
          </w:p>
        </w:tc>
        <w:tc>
          <w:tcPr>
            <w:tcW w:w="3759" w:type="dxa"/>
          </w:tcPr>
          <w:p w14:paraId="2AF6A4CC" w14:textId="77777777" w:rsidR="000D4B11" w:rsidRPr="00DA6EA8" w:rsidRDefault="000D4B11" w:rsidP="000D4B11">
            <w:pPr>
              <w:pStyle w:val="ListParagraph"/>
              <w:numPr>
                <w:ilvl w:val="0"/>
                <w:numId w:val="3"/>
              </w:numPr>
              <w:rPr>
                <w:sz w:val="20"/>
              </w:rPr>
            </w:pPr>
            <w:r w:rsidRPr="00DA6EA8">
              <w:rPr>
                <w:sz w:val="20"/>
              </w:rPr>
              <w:t>Options</w:t>
            </w:r>
          </w:p>
        </w:tc>
        <w:tc>
          <w:tcPr>
            <w:tcW w:w="2435" w:type="dxa"/>
            <w:vAlign w:val="center"/>
          </w:tcPr>
          <w:p w14:paraId="531CFB3A" w14:textId="1B04BFEE" w:rsidR="000D4B11" w:rsidRPr="00DA6EA8" w:rsidRDefault="000D4B11" w:rsidP="000D4B11">
            <w:pPr>
              <w:jc w:val="center"/>
              <w:rPr>
                <w:sz w:val="20"/>
              </w:rPr>
            </w:pPr>
            <w:r w:rsidRPr="00DA6EA8">
              <w:rPr>
                <w:sz w:val="20"/>
              </w:rPr>
              <w:t xml:space="preserve">NO </w:t>
            </w:r>
          </w:p>
        </w:tc>
        <w:tc>
          <w:tcPr>
            <w:tcW w:w="2896" w:type="dxa"/>
            <w:vAlign w:val="center"/>
          </w:tcPr>
          <w:p w14:paraId="19DEC719" w14:textId="77777777" w:rsidR="000D4B11" w:rsidRPr="00DA6EA8" w:rsidRDefault="000D4B11" w:rsidP="000D4B11">
            <w:pPr>
              <w:rPr>
                <w:sz w:val="20"/>
              </w:rPr>
            </w:pPr>
            <w:r w:rsidRPr="00DA6EA8">
              <w:rPr>
                <w:sz w:val="20"/>
              </w:rPr>
              <w:t>T+1 today</w:t>
            </w:r>
          </w:p>
        </w:tc>
      </w:tr>
      <w:bookmarkEnd w:id="4"/>
      <w:tr w:rsidR="000D4B11" w:rsidRPr="001A67CD" w14:paraId="09F19B56" w14:textId="77777777" w:rsidTr="0056173B">
        <w:tc>
          <w:tcPr>
            <w:tcW w:w="1981" w:type="dxa"/>
            <w:vMerge/>
          </w:tcPr>
          <w:p w14:paraId="27355693" w14:textId="77777777" w:rsidR="000D4B11" w:rsidRPr="00DA6EA8" w:rsidRDefault="000D4B11">
            <w:pPr>
              <w:pStyle w:val="ListParagraph"/>
              <w:numPr>
                <w:ilvl w:val="0"/>
                <w:numId w:val="5"/>
              </w:numPr>
              <w:rPr>
                <w:sz w:val="20"/>
              </w:rPr>
            </w:pPr>
          </w:p>
        </w:tc>
        <w:tc>
          <w:tcPr>
            <w:tcW w:w="3759" w:type="dxa"/>
          </w:tcPr>
          <w:p w14:paraId="444708D6" w14:textId="77777777" w:rsidR="000D4B11" w:rsidRPr="00DA6EA8" w:rsidRDefault="000D4B11" w:rsidP="000D4B11">
            <w:pPr>
              <w:pStyle w:val="ListParagraph"/>
              <w:numPr>
                <w:ilvl w:val="0"/>
                <w:numId w:val="3"/>
              </w:numPr>
              <w:rPr>
                <w:sz w:val="20"/>
              </w:rPr>
            </w:pPr>
            <w:r w:rsidRPr="00DA6EA8">
              <w:rPr>
                <w:sz w:val="20"/>
              </w:rPr>
              <w:t>Swaps</w:t>
            </w:r>
          </w:p>
        </w:tc>
        <w:tc>
          <w:tcPr>
            <w:tcW w:w="2435" w:type="dxa"/>
            <w:vAlign w:val="center"/>
          </w:tcPr>
          <w:p w14:paraId="742AE5DC" w14:textId="77777777" w:rsidR="000D4B11" w:rsidRPr="00DA6EA8" w:rsidRDefault="000D4B11" w:rsidP="000D4B11">
            <w:pPr>
              <w:jc w:val="center"/>
              <w:rPr>
                <w:sz w:val="20"/>
              </w:rPr>
            </w:pPr>
            <w:r w:rsidRPr="00DA6EA8">
              <w:rPr>
                <w:sz w:val="20"/>
              </w:rPr>
              <w:t>NO</w:t>
            </w:r>
          </w:p>
        </w:tc>
        <w:tc>
          <w:tcPr>
            <w:tcW w:w="2896" w:type="dxa"/>
            <w:vAlign w:val="center"/>
          </w:tcPr>
          <w:p w14:paraId="2CC12D3F" w14:textId="061368F0" w:rsidR="000D4B11" w:rsidRPr="008A38E7" w:rsidRDefault="000D4B11" w:rsidP="000D4B11">
            <w:pPr>
              <w:rPr>
                <w:sz w:val="20"/>
              </w:rPr>
            </w:pPr>
            <w:r>
              <w:rPr>
                <w:sz w:val="20"/>
                <w:szCs w:val="20"/>
              </w:rPr>
              <w:t>S</w:t>
            </w:r>
            <w:r w:rsidRPr="00754755">
              <w:rPr>
                <w:sz w:val="20"/>
                <w:szCs w:val="20"/>
              </w:rPr>
              <w:t>ettle</w:t>
            </w:r>
            <w:r>
              <w:rPr>
                <w:sz w:val="20"/>
                <w:szCs w:val="20"/>
              </w:rPr>
              <w:t>d</w:t>
            </w:r>
            <w:r w:rsidRPr="008A38E7">
              <w:rPr>
                <w:sz w:val="20"/>
              </w:rPr>
              <w:t xml:space="preserve"> as bilaterally agreed or through swap execution facilities (SEFs) or centrally cleared facilities where the settlement cycle is not expected to change</w:t>
            </w:r>
            <w:r w:rsidRPr="00754755">
              <w:rPr>
                <w:sz w:val="20"/>
                <w:szCs w:val="20"/>
              </w:rPr>
              <w:t xml:space="preserve"> </w:t>
            </w:r>
          </w:p>
        </w:tc>
      </w:tr>
      <w:tr w:rsidR="00EB329F" w:rsidRPr="001A67CD" w14:paraId="5BFBDAAD" w14:textId="77777777" w:rsidTr="0056173B">
        <w:tc>
          <w:tcPr>
            <w:tcW w:w="1981" w:type="dxa"/>
          </w:tcPr>
          <w:p w14:paraId="14E0F6BB" w14:textId="77777777" w:rsidR="00EB329F" w:rsidRPr="00DA6EA8" w:rsidRDefault="00EB329F">
            <w:pPr>
              <w:pStyle w:val="ListParagraph"/>
              <w:numPr>
                <w:ilvl w:val="0"/>
                <w:numId w:val="5"/>
              </w:numPr>
              <w:rPr>
                <w:sz w:val="20"/>
              </w:rPr>
            </w:pPr>
            <w:r w:rsidRPr="00DA6EA8">
              <w:rPr>
                <w:sz w:val="20"/>
              </w:rPr>
              <w:t>Hedge Funds (Private)</w:t>
            </w:r>
          </w:p>
        </w:tc>
        <w:tc>
          <w:tcPr>
            <w:tcW w:w="3759" w:type="dxa"/>
          </w:tcPr>
          <w:p w14:paraId="15661829" w14:textId="77777777" w:rsidR="00EB329F" w:rsidRPr="00DA6EA8" w:rsidRDefault="00EB329F" w:rsidP="008A38E7">
            <w:pPr>
              <w:rPr>
                <w:sz w:val="20"/>
              </w:rPr>
            </w:pPr>
            <w:r w:rsidRPr="00DA6EA8">
              <w:rPr>
                <w:sz w:val="20"/>
              </w:rPr>
              <w:t xml:space="preserve">A typically aggressively-managed portfolio of investments that uses advanced </w:t>
            </w:r>
            <w:r w:rsidRPr="00DA6EA8">
              <w:rPr>
                <w:sz w:val="20"/>
              </w:rPr>
              <w:lastRenderedPageBreak/>
              <w:t>investment strategies such as leveraged, long, short and derivative positions in both domestic and international markets with the goal of generating high returns (either in an absolute sense or over a specified market benchmark).</w:t>
            </w:r>
          </w:p>
        </w:tc>
        <w:tc>
          <w:tcPr>
            <w:tcW w:w="2435" w:type="dxa"/>
            <w:vAlign w:val="center"/>
          </w:tcPr>
          <w:p w14:paraId="08B9A787" w14:textId="31AD7776" w:rsidR="00EB329F" w:rsidRPr="00DA6EA8" w:rsidRDefault="00EB329F" w:rsidP="008A38E7">
            <w:pPr>
              <w:jc w:val="center"/>
              <w:rPr>
                <w:sz w:val="20"/>
              </w:rPr>
            </w:pPr>
            <w:r w:rsidRPr="005E7942">
              <w:rPr>
                <w:sz w:val="20"/>
                <w:szCs w:val="20"/>
              </w:rPr>
              <w:lastRenderedPageBreak/>
              <w:t>Refer prospectus</w:t>
            </w:r>
          </w:p>
        </w:tc>
        <w:tc>
          <w:tcPr>
            <w:tcW w:w="2896" w:type="dxa"/>
            <w:vAlign w:val="center"/>
          </w:tcPr>
          <w:p w14:paraId="555C9639" w14:textId="6AA0D0F6" w:rsidR="00EB329F" w:rsidRPr="008A38E7" w:rsidRDefault="00EB329F" w:rsidP="008A38E7">
            <w:pPr>
              <w:rPr>
                <w:sz w:val="20"/>
              </w:rPr>
            </w:pPr>
            <w:r w:rsidRPr="008A38E7">
              <w:rPr>
                <w:sz w:val="20"/>
              </w:rPr>
              <w:t xml:space="preserve">In Canada, the issuer of these funds publishes the settlement </w:t>
            </w:r>
            <w:r w:rsidRPr="008A38E7">
              <w:rPr>
                <w:sz w:val="20"/>
              </w:rPr>
              <w:lastRenderedPageBreak/>
              <w:t>provisions within the Prospectus or Offering Memorandum.</w:t>
            </w:r>
            <w:r>
              <w:rPr>
                <w:sz w:val="20"/>
                <w:szCs w:val="20"/>
              </w:rPr>
              <w:t xml:space="preserve"> </w:t>
            </w:r>
          </w:p>
        </w:tc>
      </w:tr>
      <w:tr w:rsidR="00DA6EA8" w:rsidRPr="001A67CD" w14:paraId="55220F70" w14:textId="77777777" w:rsidTr="0056173B">
        <w:trPr>
          <w:trHeight w:val="1655"/>
        </w:trPr>
        <w:tc>
          <w:tcPr>
            <w:tcW w:w="1981" w:type="dxa"/>
            <w:vMerge w:val="restart"/>
          </w:tcPr>
          <w:p w14:paraId="6801141C" w14:textId="66CCAD27" w:rsidR="00DF645F" w:rsidRPr="00DA6EA8" w:rsidRDefault="00DF645F">
            <w:pPr>
              <w:pStyle w:val="ListParagraph"/>
              <w:numPr>
                <w:ilvl w:val="0"/>
                <w:numId w:val="5"/>
              </w:numPr>
              <w:rPr>
                <w:sz w:val="20"/>
              </w:rPr>
            </w:pPr>
            <w:r w:rsidRPr="00DA6EA8">
              <w:rPr>
                <w:sz w:val="20"/>
              </w:rPr>
              <w:lastRenderedPageBreak/>
              <w:t>Structured</w:t>
            </w:r>
            <w:r w:rsidRPr="00F72133">
              <w:rPr>
                <w:sz w:val="20"/>
                <w:szCs w:val="20"/>
              </w:rPr>
              <w:t xml:space="preserve"> </w:t>
            </w:r>
            <w:r w:rsidRPr="00DA6EA8">
              <w:rPr>
                <w:sz w:val="20"/>
              </w:rPr>
              <w:t>Products</w:t>
            </w:r>
            <w:r>
              <w:rPr>
                <w:sz w:val="20"/>
                <w:szCs w:val="20"/>
              </w:rPr>
              <w:t xml:space="preserve"> </w:t>
            </w:r>
          </w:p>
        </w:tc>
        <w:tc>
          <w:tcPr>
            <w:tcW w:w="3759" w:type="dxa"/>
          </w:tcPr>
          <w:p w14:paraId="0C6D5A48" w14:textId="551B8F5A" w:rsidR="00DF645F" w:rsidRPr="008A38E7" w:rsidRDefault="00DF645F" w:rsidP="008A38E7">
            <w:pPr>
              <w:rPr>
                <w:sz w:val="20"/>
              </w:rPr>
            </w:pPr>
            <w:r w:rsidRPr="008A38E7">
              <w:rPr>
                <w:sz w:val="20"/>
              </w:rPr>
              <w:t>Following the broad definition used by regulators such as the SEC, NASD, and NYSE that define a “structured product” as a security derived from or based on another security (including a bond), basket of securities, index</w:t>
            </w:r>
            <w:r w:rsidR="00AC70A2">
              <w:rPr>
                <w:sz w:val="20"/>
                <w:szCs w:val="20"/>
              </w:rPr>
              <w:t xml:space="preserve"> (e.g., market-/index-linked notes)</w:t>
            </w:r>
            <w:r w:rsidRPr="009223B5">
              <w:rPr>
                <w:sz w:val="20"/>
                <w:szCs w:val="20"/>
              </w:rPr>
              <w:t>,</w:t>
            </w:r>
            <w:r w:rsidRPr="008A38E7">
              <w:rPr>
                <w:sz w:val="20"/>
              </w:rPr>
              <w:t xml:space="preserve"> commodity, or foreign currency. Common examples</w:t>
            </w:r>
            <w:r w:rsidR="00AC70A2">
              <w:rPr>
                <w:sz w:val="20"/>
                <w:szCs w:val="20"/>
              </w:rPr>
              <w:t>, in addition to ETFs identified above as moving to T+1,</w:t>
            </w:r>
            <w:r w:rsidRPr="008A38E7">
              <w:rPr>
                <w:sz w:val="20"/>
              </w:rPr>
              <w:t xml:space="preserve"> include:</w:t>
            </w:r>
          </w:p>
        </w:tc>
        <w:tc>
          <w:tcPr>
            <w:tcW w:w="2435" w:type="dxa"/>
            <w:vAlign w:val="center"/>
          </w:tcPr>
          <w:p w14:paraId="5A2D230B" w14:textId="23821557" w:rsidR="00DF645F" w:rsidRPr="008A38E7" w:rsidRDefault="00DF645F" w:rsidP="008A38E7">
            <w:pPr>
              <w:jc w:val="center"/>
              <w:rPr>
                <w:sz w:val="20"/>
              </w:rPr>
            </w:pPr>
            <w:r w:rsidRPr="005E7942">
              <w:rPr>
                <w:sz w:val="20"/>
                <w:szCs w:val="20"/>
              </w:rPr>
              <w:t>Refer prospectus</w:t>
            </w:r>
          </w:p>
        </w:tc>
        <w:tc>
          <w:tcPr>
            <w:tcW w:w="2896" w:type="dxa"/>
            <w:vAlign w:val="center"/>
          </w:tcPr>
          <w:p w14:paraId="10A64141" w14:textId="3A87291A" w:rsidR="00DF645F" w:rsidRPr="008A38E7" w:rsidRDefault="00DF645F" w:rsidP="008A38E7">
            <w:pPr>
              <w:rPr>
                <w:sz w:val="20"/>
              </w:rPr>
            </w:pPr>
            <w:r>
              <w:rPr>
                <w:sz w:val="20"/>
                <w:szCs w:val="20"/>
              </w:rPr>
              <w:t>Refer</w:t>
            </w:r>
            <w:r w:rsidRPr="008A38E7">
              <w:rPr>
                <w:sz w:val="20"/>
              </w:rPr>
              <w:t xml:space="preserve"> settlement provision within the Prospectus or Offering Memorandum.</w:t>
            </w:r>
          </w:p>
        </w:tc>
      </w:tr>
      <w:tr w:rsidR="00DA6EA8" w:rsidRPr="001A67CD" w14:paraId="320E989D" w14:textId="77777777" w:rsidTr="0056173B">
        <w:tc>
          <w:tcPr>
            <w:tcW w:w="1981" w:type="dxa"/>
            <w:vMerge/>
          </w:tcPr>
          <w:p w14:paraId="16B717B4" w14:textId="77777777" w:rsidR="00DF645F" w:rsidRPr="008A38E7" w:rsidRDefault="00DF645F">
            <w:pPr>
              <w:pStyle w:val="ListParagraph"/>
              <w:numPr>
                <w:ilvl w:val="0"/>
                <w:numId w:val="5"/>
              </w:numPr>
              <w:rPr>
                <w:sz w:val="20"/>
              </w:rPr>
            </w:pPr>
            <w:bookmarkStart w:id="5" w:name="_Hlk109302672"/>
          </w:p>
        </w:tc>
        <w:tc>
          <w:tcPr>
            <w:tcW w:w="3759" w:type="dxa"/>
          </w:tcPr>
          <w:p w14:paraId="091509F8" w14:textId="29D9160C" w:rsidR="00DF645F" w:rsidRPr="00DA6EA8" w:rsidRDefault="00DF645F" w:rsidP="000D4B11">
            <w:pPr>
              <w:pStyle w:val="ListParagraph"/>
              <w:numPr>
                <w:ilvl w:val="0"/>
                <w:numId w:val="3"/>
              </w:numPr>
              <w:rPr>
                <w:sz w:val="20"/>
              </w:rPr>
            </w:pPr>
            <w:r w:rsidRPr="00DA6EA8">
              <w:rPr>
                <w:sz w:val="20"/>
              </w:rPr>
              <w:t>Exchange-</w:t>
            </w:r>
            <w:r w:rsidRPr="009223B5">
              <w:rPr>
                <w:sz w:val="20"/>
                <w:szCs w:val="20"/>
              </w:rPr>
              <w:t>traded notes</w:t>
            </w:r>
            <w:r w:rsidRPr="00DA6EA8">
              <w:rPr>
                <w:sz w:val="20"/>
              </w:rPr>
              <w:t xml:space="preserve"> (ETNs)</w:t>
            </w:r>
          </w:p>
        </w:tc>
        <w:tc>
          <w:tcPr>
            <w:tcW w:w="2435" w:type="dxa"/>
            <w:vAlign w:val="center"/>
          </w:tcPr>
          <w:p w14:paraId="072C1DB4" w14:textId="6E40AE66" w:rsidR="00DF645F" w:rsidRPr="00DA6EA8" w:rsidRDefault="00DF645F" w:rsidP="000D4B11">
            <w:pPr>
              <w:jc w:val="center"/>
              <w:rPr>
                <w:sz w:val="20"/>
              </w:rPr>
            </w:pPr>
            <w:r w:rsidRPr="005E7942">
              <w:rPr>
                <w:sz w:val="20"/>
                <w:szCs w:val="20"/>
              </w:rPr>
              <w:t>Refer prospectus</w:t>
            </w:r>
          </w:p>
        </w:tc>
        <w:tc>
          <w:tcPr>
            <w:tcW w:w="2896" w:type="dxa"/>
          </w:tcPr>
          <w:p w14:paraId="427C351E" w14:textId="390D63FD" w:rsidR="00DF645F" w:rsidRPr="00DA6EA8" w:rsidRDefault="00DF645F" w:rsidP="000D4B11">
            <w:pPr>
              <w:rPr>
                <w:sz w:val="20"/>
              </w:rPr>
            </w:pPr>
            <w:r>
              <w:rPr>
                <w:sz w:val="20"/>
                <w:szCs w:val="20"/>
              </w:rPr>
              <w:t xml:space="preserve">Refer </w:t>
            </w:r>
            <w:r w:rsidRPr="00CE792C">
              <w:rPr>
                <w:sz w:val="20"/>
                <w:szCs w:val="20"/>
              </w:rPr>
              <w:t>settlement provision within the Pro</w:t>
            </w:r>
            <w:r>
              <w:rPr>
                <w:sz w:val="20"/>
                <w:szCs w:val="20"/>
              </w:rPr>
              <w:t>spectus or Offering Memorandum.</w:t>
            </w:r>
          </w:p>
        </w:tc>
      </w:tr>
      <w:bookmarkEnd w:id="5"/>
      <w:tr w:rsidR="00AC70A2" w:rsidRPr="001A67CD" w14:paraId="608B8794" w14:textId="77777777" w:rsidTr="0056173B">
        <w:trPr>
          <w:trHeight w:val="288"/>
        </w:trPr>
        <w:tc>
          <w:tcPr>
            <w:tcW w:w="1981" w:type="dxa"/>
            <w:vMerge/>
          </w:tcPr>
          <w:p w14:paraId="7A3A596C" w14:textId="77777777" w:rsidR="00AC70A2" w:rsidRPr="00931CF3" w:rsidRDefault="00AC70A2">
            <w:pPr>
              <w:pStyle w:val="ListParagraph"/>
              <w:numPr>
                <w:ilvl w:val="0"/>
                <w:numId w:val="5"/>
              </w:numPr>
              <w:rPr>
                <w:sz w:val="20"/>
                <w:szCs w:val="20"/>
              </w:rPr>
            </w:pPr>
          </w:p>
        </w:tc>
        <w:tc>
          <w:tcPr>
            <w:tcW w:w="3759" w:type="dxa"/>
          </w:tcPr>
          <w:p w14:paraId="2B857F45" w14:textId="52B82CD9" w:rsidR="00AC70A2" w:rsidRPr="009223B5" w:rsidRDefault="00AC70A2" w:rsidP="00AC70A2">
            <w:pPr>
              <w:pStyle w:val="ListParagraph"/>
              <w:numPr>
                <w:ilvl w:val="0"/>
                <w:numId w:val="3"/>
              </w:numPr>
              <w:rPr>
                <w:sz w:val="20"/>
                <w:szCs w:val="20"/>
              </w:rPr>
            </w:pPr>
            <w:r>
              <w:rPr>
                <w:sz w:val="20"/>
                <w:szCs w:val="20"/>
              </w:rPr>
              <w:t>Exchange-traded commodities (ETCs)</w:t>
            </w:r>
          </w:p>
        </w:tc>
        <w:tc>
          <w:tcPr>
            <w:tcW w:w="2435" w:type="dxa"/>
            <w:vAlign w:val="center"/>
          </w:tcPr>
          <w:p w14:paraId="3B70376F" w14:textId="06EE4564" w:rsidR="00AC70A2" w:rsidRPr="007E6114" w:rsidRDefault="00AC70A2" w:rsidP="00AC70A2">
            <w:pPr>
              <w:jc w:val="center"/>
              <w:rPr>
                <w:sz w:val="20"/>
                <w:szCs w:val="20"/>
                <w:highlight w:val="yellow"/>
              </w:rPr>
            </w:pPr>
            <w:r w:rsidRPr="005E7942">
              <w:rPr>
                <w:sz w:val="20"/>
                <w:szCs w:val="20"/>
              </w:rPr>
              <w:t>Refer prospectus</w:t>
            </w:r>
          </w:p>
        </w:tc>
        <w:tc>
          <w:tcPr>
            <w:tcW w:w="2896" w:type="dxa"/>
          </w:tcPr>
          <w:p w14:paraId="5B0B6E18" w14:textId="64E33463" w:rsidR="00AC70A2" w:rsidRPr="007E6114" w:rsidRDefault="00AC70A2" w:rsidP="00AC70A2">
            <w:pPr>
              <w:rPr>
                <w:sz w:val="20"/>
                <w:szCs w:val="20"/>
                <w:highlight w:val="yellow"/>
              </w:rPr>
            </w:pPr>
            <w:r>
              <w:rPr>
                <w:sz w:val="20"/>
                <w:szCs w:val="20"/>
              </w:rPr>
              <w:t xml:space="preserve">Refer </w:t>
            </w:r>
            <w:r w:rsidRPr="00CE792C">
              <w:rPr>
                <w:sz w:val="20"/>
                <w:szCs w:val="20"/>
              </w:rPr>
              <w:t>settlement provision within the Pro</w:t>
            </w:r>
            <w:r>
              <w:rPr>
                <w:sz w:val="20"/>
                <w:szCs w:val="20"/>
              </w:rPr>
              <w:t>spectus or Offering Memorandum.</w:t>
            </w:r>
          </w:p>
        </w:tc>
      </w:tr>
      <w:tr w:rsidR="00DA6EA8" w:rsidRPr="001A67CD" w14:paraId="07CBFD2A" w14:textId="77777777" w:rsidTr="0056173B">
        <w:tc>
          <w:tcPr>
            <w:tcW w:w="1981" w:type="dxa"/>
            <w:vMerge/>
          </w:tcPr>
          <w:p w14:paraId="75019B45" w14:textId="77777777" w:rsidR="00AC70A2" w:rsidRPr="00DA6EA8" w:rsidRDefault="00AC70A2">
            <w:pPr>
              <w:pStyle w:val="ListParagraph"/>
              <w:numPr>
                <w:ilvl w:val="0"/>
                <w:numId w:val="5"/>
              </w:numPr>
              <w:rPr>
                <w:sz w:val="20"/>
              </w:rPr>
            </w:pPr>
            <w:bookmarkStart w:id="6" w:name="_Hlk109302435"/>
          </w:p>
        </w:tc>
        <w:tc>
          <w:tcPr>
            <w:tcW w:w="3759" w:type="dxa"/>
          </w:tcPr>
          <w:p w14:paraId="59AE96E8" w14:textId="1C7B8239" w:rsidR="00AC70A2" w:rsidRPr="00DA6EA8" w:rsidRDefault="00AC70A2" w:rsidP="000D4B11">
            <w:pPr>
              <w:pStyle w:val="ListParagraph"/>
              <w:numPr>
                <w:ilvl w:val="0"/>
                <w:numId w:val="3"/>
              </w:numPr>
              <w:rPr>
                <w:sz w:val="20"/>
              </w:rPr>
            </w:pPr>
            <w:r w:rsidRPr="00DA6EA8">
              <w:rPr>
                <w:sz w:val="20"/>
              </w:rPr>
              <w:t>Principal</w:t>
            </w:r>
            <w:r>
              <w:rPr>
                <w:sz w:val="20"/>
                <w:szCs w:val="20"/>
              </w:rPr>
              <w:t>-</w:t>
            </w:r>
            <w:r w:rsidRPr="00DA6EA8">
              <w:rPr>
                <w:sz w:val="20"/>
              </w:rPr>
              <w:t>at</w:t>
            </w:r>
            <w:r>
              <w:rPr>
                <w:sz w:val="20"/>
                <w:szCs w:val="20"/>
              </w:rPr>
              <w:t>-</w:t>
            </w:r>
            <w:r w:rsidRPr="009223B5">
              <w:rPr>
                <w:sz w:val="20"/>
                <w:szCs w:val="20"/>
              </w:rPr>
              <w:t>risk notes</w:t>
            </w:r>
            <w:r w:rsidRPr="00DA6EA8">
              <w:rPr>
                <w:sz w:val="20"/>
              </w:rPr>
              <w:t xml:space="preserve"> (PRNs)</w:t>
            </w:r>
          </w:p>
        </w:tc>
        <w:tc>
          <w:tcPr>
            <w:tcW w:w="2435" w:type="dxa"/>
            <w:vAlign w:val="center"/>
          </w:tcPr>
          <w:p w14:paraId="19E03167" w14:textId="0F35A446" w:rsidR="00AC70A2" w:rsidRPr="00DA6EA8" w:rsidRDefault="00AC70A2" w:rsidP="000D4B11">
            <w:pPr>
              <w:jc w:val="center"/>
              <w:rPr>
                <w:sz w:val="20"/>
              </w:rPr>
            </w:pPr>
            <w:r w:rsidRPr="005E7942">
              <w:rPr>
                <w:sz w:val="20"/>
                <w:szCs w:val="20"/>
              </w:rPr>
              <w:t>Out of scope</w:t>
            </w:r>
          </w:p>
        </w:tc>
        <w:tc>
          <w:tcPr>
            <w:tcW w:w="2896" w:type="dxa"/>
          </w:tcPr>
          <w:p w14:paraId="48D3FE34" w14:textId="11EA17B1" w:rsidR="00AC70A2" w:rsidRPr="00DA6EA8" w:rsidRDefault="00AC70A2" w:rsidP="000D4B11">
            <w:pPr>
              <w:rPr>
                <w:sz w:val="20"/>
              </w:rPr>
            </w:pPr>
            <w:r w:rsidRPr="00703C94">
              <w:rPr>
                <w:sz w:val="20"/>
                <w:szCs w:val="20"/>
              </w:rPr>
              <w:t>Subject to issuer; not cleared through CDS</w:t>
            </w:r>
          </w:p>
        </w:tc>
      </w:tr>
      <w:bookmarkEnd w:id="6"/>
      <w:tr w:rsidR="00DA6EA8" w:rsidRPr="001A67CD" w14:paraId="6DE3E31C" w14:textId="77777777" w:rsidTr="0056173B">
        <w:tc>
          <w:tcPr>
            <w:tcW w:w="1981" w:type="dxa"/>
            <w:vMerge/>
          </w:tcPr>
          <w:p w14:paraId="37BBF9CB" w14:textId="77777777" w:rsidR="00294FBE" w:rsidRPr="00DA6EA8" w:rsidRDefault="00294FBE">
            <w:pPr>
              <w:pStyle w:val="ListParagraph"/>
              <w:numPr>
                <w:ilvl w:val="0"/>
                <w:numId w:val="5"/>
              </w:numPr>
              <w:rPr>
                <w:sz w:val="20"/>
              </w:rPr>
            </w:pPr>
          </w:p>
        </w:tc>
        <w:tc>
          <w:tcPr>
            <w:tcW w:w="3759" w:type="dxa"/>
          </w:tcPr>
          <w:p w14:paraId="416AA9CD" w14:textId="428D46DE" w:rsidR="00294FBE" w:rsidRPr="00DA6EA8" w:rsidRDefault="00294FBE" w:rsidP="000D4B11">
            <w:pPr>
              <w:pStyle w:val="ListParagraph"/>
              <w:numPr>
                <w:ilvl w:val="0"/>
                <w:numId w:val="3"/>
              </w:numPr>
              <w:rPr>
                <w:sz w:val="20"/>
              </w:rPr>
            </w:pPr>
            <w:r w:rsidRPr="00DA6EA8">
              <w:rPr>
                <w:sz w:val="20"/>
              </w:rPr>
              <w:t>Principal-</w:t>
            </w:r>
            <w:r w:rsidRPr="009223B5">
              <w:rPr>
                <w:sz w:val="20"/>
                <w:szCs w:val="20"/>
              </w:rPr>
              <w:t>protected notes</w:t>
            </w:r>
            <w:r w:rsidRPr="00DA6EA8">
              <w:rPr>
                <w:sz w:val="20"/>
              </w:rPr>
              <w:t xml:space="preserve"> (PPNs</w:t>
            </w:r>
            <w:r w:rsidRPr="009223B5">
              <w:rPr>
                <w:sz w:val="20"/>
                <w:szCs w:val="20"/>
              </w:rPr>
              <w:t>)</w:t>
            </w:r>
          </w:p>
        </w:tc>
        <w:tc>
          <w:tcPr>
            <w:tcW w:w="2435" w:type="dxa"/>
            <w:vAlign w:val="center"/>
          </w:tcPr>
          <w:p w14:paraId="3400FB22" w14:textId="6A1D8F98" w:rsidR="00294FBE" w:rsidRPr="00DA6EA8" w:rsidRDefault="00294FBE" w:rsidP="000D4B11">
            <w:pPr>
              <w:jc w:val="center"/>
              <w:rPr>
                <w:sz w:val="20"/>
              </w:rPr>
            </w:pPr>
            <w:r w:rsidRPr="005E7942">
              <w:rPr>
                <w:sz w:val="20"/>
                <w:szCs w:val="20"/>
              </w:rPr>
              <w:t>Out of scope</w:t>
            </w:r>
          </w:p>
        </w:tc>
        <w:tc>
          <w:tcPr>
            <w:tcW w:w="2896" w:type="dxa"/>
          </w:tcPr>
          <w:p w14:paraId="24AF2324" w14:textId="2C1B139D" w:rsidR="00294FBE" w:rsidRPr="00DA6EA8" w:rsidRDefault="00294FBE" w:rsidP="000D4B11">
            <w:pPr>
              <w:rPr>
                <w:sz w:val="20"/>
              </w:rPr>
            </w:pPr>
            <w:r w:rsidRPr="00204D2C">
              <w:rPr>
                <w:sz w:val="20"/>
                <w:szCs w:val="20"/>
              </w:rPr>
              <w:t>Subject to issuer; not cleared through CDS</w:t>
            </w:r>
          </w:p>
        </w:tc>
      </w:tr>
      <w:tr w:rsidR="007E6114" w:rsidRPr="001A67CD" w14:paraId="7877D18A" w14:textId="77777777" w:rsidTr="0056173B">
        <w:trPr>
          <w:trHeight w:val="510"/>
        </w:trPr>
        <w:tc>
          <w:tcPr>
            <w:tcW w:w="1981" w:type="dxa"/>
            <w:vMerge/>
          </w:tcPr>
          <w:p w14:paraId="41BD90EA" w14:textId="77777777" w:rsidR="007E6114" w:rsidRPr="00F72133" w:rsidRDefault="007E6114">
            <w:pPr>
              <w:pStyle w:val="ListParagraph"/>
              <w:numPr>
                <w:ilvl w:val="0"/>
                <w:numId w:val="5"/>
              </w:numPr>
              <w:rPr>
                <w:sz w:val="20"/>
                <w:szCs w:val="20"/>
              </w:rPr>
            </w:pPr>
          </w:p>
        </w:tc>
        <w:tc>
          <w:tcPr>
            <w:tcW w:w="3759" w:type="dxa"/>
          </w:tcPr>
          <w:p w14:paraId="206D3DB2" w14:textId="39AFBCAC" w:rsidR="007E6114" w:rsidRPr="000D4B11" w:rsidRDefault="007E6114" w:rsidP="000D4B11">
            <w:pPr>
              <w:pStyle w:val="ListParagraph"/>
              <w:numPr>
                <w:ilvl w:val="0"/>
                <w:numId w:val="3"/>
              </w:numPr>
              <w:rPr>
                <w:sz w:val="20"/>
                <w:szCs w:val="20"/>
              </w:rPr>
            </w:pPr>
            <w:r>
              <w:rPr>
                <w:sz w:val="20"/>
                <w:szCs w:val="20"/>
              </w:rPr>
              <w:t>Non-principal-protected notes (NPPNs)</w:t>
            </w:r>
          </w:p>
        </w:tc>
        <w:tc>
          <w:tcPr>
            <w:tcW w:w="2435" w:type="dxa"/>
            <w:vAlign w:val="center"/>
          </w:tcPr>
          <w:p w14:paraId="3ACD5742" w14:textId="77777777" w:rsidR="007E6114" w:rsidRPr="005E7942" w:rsidRDefault="007E6114" w:rsidP="00AC70A2">
            <w:pPr>
              <w:jc w:val="center"/>
              <w:rPr>
                <w:sz w:val="20"/>
                <w:szCs w:val="20"/>
              </w:rPr>
            </w:pPr>
            <w:r w:rsidRPr="005E7942">
              <w:rPr>
                <w:sz w:val="20"/>
                <w:szCs w:val="20"/>
              </w:rPr>
              <w:t>Out of scope</w:t>
            </w:r>
          </w:p>
          <w:p w14:paraId="19E4A398" w14:textId="599CF9BC" w:rsidR="007E6114" w:rsidRPr="005E7942" w:rsidRDefault="007E6114" w:rsidP="00AC70A2">
            <w:pPr>
              <w:jc w:val="center"/>
              <w:rPr>
                <w:sz w:val="20"/>
                <w:szCs w:val="20"/>
              </w:rPr>
            </w:pPr>
          </w:p>
        </w:tc>
        <w:tc>
          <w:tcPr>
            <w:tcW w:w="2896" w:type="dxa"/>
          </w:tcPr>
          <w:p w14:paraId="7364AE18" w14:textId="630BD616" w:rsidR="007E6114" w:rsidRPr="00204D2C" w:rsidRDefault="007E6114" w:rsidP="00AC70A2">
            <w:pPr>
              <w:rPr>
                <w:sz w:val="20"/>
                <w:szCs w:val="20"/>
              </w:rPr>
            </w:pPr>
            <w:r w:rsidRPr="00204D2C">
              <w:rPr>
                <w:sz w:val="20"/>
                <w:szCs w:val="20"/>
              </w:rPr>
              <w:t>Subject to issuer; not cleared through CDS</w:t>
            </w:r>
          </w:p>
        </w:tc>
      </w:tr>
      <w:tr w:rsidR="00AC70A2" w:rsidRPr="001A67CD" w14:paraId="57AD8E35" w14:textId="77777777" w:rsidTr="0056173B">
        <w:tc>
          <w:tcPr>
            <w:tcW w:w="1981" w:type="dxa"/>
          </w:tcPr>
          <w:p w14:paraId="7F446CCB" w14:textId="77777777" w:rsidR="00AC70A2" w:rsidRPr="00F72133" w:rsidRDefault="00AC70A2">
            <w:pPr>
              <w:pStyle w:val="ListParagraph"/>
              <w:numPr>
                <w:ilvl w:val="0"/>
                <w:numId w:val="5"/>
              </w:numPr>
              <w:rPr>
                <w:sz w:val="20"/>
                <w:szCs w:val="20"/>
              </w:rPr>
            </w:pPr>
            <w:r w:rsidRPr="00F72133">
              <w:rPr>
                <w:sz w:val="20"/>
                <w:szCs w:val="20"/>
              </w:rPr>
              <w:t xml:space="preserve">Other </w:t>
            </w:r>
            <w:r>
              <w:rPr>
                <w:sz w:val="20"/>
                <w:szCs w:val="20"/>
              </w:rPr>
              <w:t>Alternative Investment</w:t>
            </w:r>
            <w:r w:rsidRPr="000B589E">
              <w:rPr>
                <w:sz w:val="20"/>
                <w:szCs w:val="20"/>
              </w:rPr>
              <w:t xml:space="preserve"> </w:t>
            </w:r>
            <w:r w:rsidRPr="00F72133">
              <w:rPr>
                <w:sz w:val="20"/>
                <w:szCs w:val="20"/>
              </w:rPr>
              <w:t>Products</w:t>
            </w:r>
          </w:p>
        </w:tc>
        <w:tc>
          <w:tcPr>
            <w:tcW w:w="3759" w:type="dxa"/>
          </w:tcPr>
          <w:p w14:paraId="7F0E95E3" w14:textId="0C4F76A2" w:rsidR="00AC70A2" w:rsidRPr="00A538DD" w:rsidRDefault="00AC70A2" w:rsidP="00AC70A2">
            <w:pPr>
              <w:rPr>
                <w:i/>
                <w:sz w:val="20"/>
                <w:szCs w:val="20"/>
              </w:rPr>
            </w:pPr>
            <w:r w:rsidRPr="00FC485F">
              <w:rPr>
                <w:i/>
                <w:sz w:val="20"/>
                <w:szCs w:val="20"/>
              </w:rPr>
              <w:t xml:space="preserve">Placeholder for any new or unidentified products </w:t>
            </w:r>
          </w:p>
        </w:tc>
        <w:tc>
          <w:tcPr>
            <w:tcW w:w="2435" w:type="dxa"/>
          </w:tcPr>
          <w:p w14:paraId="6D992644" w14:textId="77777777" w:rsidR="00AC70A2" w:rsidRPr="00CE792C" w:rsidRDefault="00AC70A2" w:rsidP="00AC70A2">
            <w:pPr>
              <w:jc w:val="center"/>
              <w:rPr>
                <w:sz w:val="20"/>
                <w:szCs w:val="20"/>
              </w:rPr>
            </w:pPr>
          </w:p>
        </w:tc>
        <w:tc>
          <w:tcPr>
            <w:tcW w:w="2896" w:type="dxa"/>
          </w:tcPr>
          <w:p w14:paraId="275DE1D6" w14:textId="77777777" w:rsidR="00AC70A2" w:rsidRPr="00CE792C" w:rsidRDefault="00AC70A2" w:rsidP="00AC70A2">
            <w:pPr>
              <w:rPr>
                <w:sz w:val="20"/>
                <w:szCs w:val="20"/>
              </w:rPr>
            </w:pPr>
          </w:p>
        </w:tc>
      </w:tr>
    </w:tbl>
    <w:p w14:paraId="584D7F3B" w14:textId="77777777" w:rsidR="0019706A" w:rsidRPr="008A38E7" w:rsidRDefault="0019706A" w:rsidP="008A38E7">
      <w:pPr>
        <w:ind w:left="90"/>
        <w:jc w:val="center"/>
        <w:rPr>
          <w:b/>
          <w:sz w:val="24"/>
        </w:rPr>
      </w:pPr>
    </w:p>
    <w:p w14:paraId="0EB07698" w14:textId="3016E249" w:rsidR="00E33D98" w:rsidRPr="00E33D98" w:rsidRDefault="00E33D98" w:rsidP="00144B3D">
      <w:pPr>
        <w:keepNext/>
        <w:keepLines/>
        <w:ind w:left="86"/>
        <w:jc w:val="center"/>
        <w:rPr>
          <w:b/>
          <w:sz w:val="24"/>
          <w:szCs w:val="24"/>
          <w:lang w:val="en-US"/>
        </w:rPr>
      </w:pPr>
      <w:r>
        <w:rPr>
          <w:b/>
          <w:sz w:val="24"/>
          <w:szCs w:val="24"/>
        </w:rPr>
        <w:t xml:space="preserve">FUNDS </w:t>
      </w:r>
      <w:r>
        <w:rPr>
          <w:b/>
          <w:sz w:val="24"/>
          <w:szCs w:val="24"/>
          <w:lang w:val="en-US"/>
        </w:rPr>
        <w:t>AND OTHER PRODUCTS PROCESSED (SOLD/REDEEMED) THROUGH FUNDSERV</w:t>
      </w:r>
    </w:p>
    <w:p w14:paraId="22C261FD" w14:textId="77777777" w:rsidR="00E33D98" w:rsidRPr="007E27EB" w:rsidRDefault="00E33D98" w:rsidP="00144B3D">
      <w:pPr>
        <w:keepNext/>
        <w:keepLines/>
        <w:ind w:left="86"/>
        <w:rPr>
          <w:b/>
          <w:sz w:val="16"/>
          <w:szCs w:val="16"/>
        </w:rPr>
      </w:pPr>
    </w:p>
    <w:p w14:paraId="69A2586D" w14:textId="0B1AA1EC" w:rsidR="00D93444" w:rsidRPr="0056173B" w:rsidRDefault="0043123F" w:rsidP="0056173B">
      <w:pPr>
        <w:keepNext/>
        <w:keepLines/>
        <w:ind w:left="270" w:right="-180"/>
        <w:rPr>
          <w:sz w:val="20"/>
        </w:rPr>
      </w:pPr>
      <w:r w:rsidRPr="008A38E7">
        <w:rPr>
          <w:b/>
          <w:sz w:val="20"/>
        </w:rPr>
        <w:t>Note:</w:t>
      </w:r>
      <w:r w:rsidRPr="00E33D98">
        <w:rPr>
          <w:sz w:val="20"/>
          <w:szCs w:val="20"/>
        </w:rPr>
        <w:t xml:space="preserve"> </w:t>
      </w:r>
      <w:r w:rsidRPr="008A38E7">
        <w:rPr>
          <w:sz w:val="20"/>
        </w:rPr>
        <w:t xml:space="preserve"> For the convenience of fund product reviewers, the following rows have been extracted </w:t>
      </w:r>
      <w:r w:rsidR="000B08F1" w:rsidRPr="008A38E7">
        <w:rPr>
          <w:sz w:val="20"/>
        </w:rPr>
        <w:t xml:space="preserve">from the table above </w:t>
      </w:r>
      <w:r w:rsidRPr="008A38E7">
        <w:rPr>
          <w:sz w:val="20"/>
        </w:rPr>
        <w:t>and combined for easier review</w:t>
      </w:r>
      <w:r w:rsidR="00915F2F" w:rsidRPr="00E33D98">
        <w:rPr>
          <w:sz w:val="20"/>
          <w:szCs w:val="20"/>
        </w:rPr>
        <w:t xml:space="preserve"> with other non-exchange-traded fund types</w:t>
      </w:r>
      <w:r w:rsidR="002E3BF8" w:rsidRPr="00E33D98">
        <w:rPr>
          <w:sz w:val="20"/>
          <w:szCs w:val="20"/>
        </w:rPr>
        <w:t xml:space="preserve">. </w:t>
      </w:r>
      <w:r w:rsidR="002E3BF8" w:rsidRPr="008A38E7">
        <w:rPr>
          <w:sz w:val="20"/>
        </w:rPr>
        <w:t xml:space="preserve"> Also, some products are ‘fund-like’</w:t>
      </w:r>
      <w:r w:rsidR="000B08F1" w:rsidRPr="008A38E7">
        <w:rPr>
          <w:sz w:val="20"/>
        </w:rPr>
        <w:t xml:space="preserve"> and/or also are processed through </w:t>
      </w:r>
      <w:r w:rsidR="000B08F1" w:rsidRPr="0056173B">
        <w:rPr>
          <w:sz w:val="20"/>
        </w:rPr>
        <w:t>Fund</w:t>
      </w:r>
      <w:r w:rsidR="00D620A7" w:rsidRPr="0056173B">
        <w:rPr>
          <w:sz w:val="20"/>
        </w:rPr>
        <w:t>serv</w:t>
      </w:r>
      <w:r w:rsidR="000B08F1" w:rsidRPr="0056173B">
        <w:rPr>
          <w:sz w:val="20"/>
        </w:rPr>
        <w:t xml:space="preserve">, such as REITs, units, wraps, GICs, </w:t>
      </w:r>
      <w:r w:rsidR="004F7012" w:rsidRPr="0056173B">
        <w:rPr>
          <w:sz w:val="20"/>
        </w:rPr>
        <w:t xml:space="preserve">and </w:t>
      </w:r>
      <w:r w:rsidR="000B08F1" w:rsidRPr="0056173B">
        <w:rPr>
          <w:sz w:val="20"/>
        </w:rPr>
        <w:t>HISAs.</w:t>
      </w:r>
      <w:r w:rsidR="00E33D98" w:rsidRPr="0056173B">
        <w:rPr>
          <w:sz w:val="20"/>
          <w:szCs w:val="20"/>
        </w:rPr>
        <w:t xml:space="preserve">  </w:t>
      </w:r>
      <w:r w:rsidR="00D93444" w:rsidRPr="0056173B">
        <w:rPr>
          <w:sz w:val="20"/>
          <w:szCs w:val="20"/>
        </w:rPr>
        <w:t xml:space="preserve">Funds trading on an exchange </w:t>
      </w:r>
      <w:r w:rsidR="00E33D98" w:rsidRPr="0056173B">
        <w:rPr>
          <w:sz w:val="20"/>
          <w:szCs w:val="20"/>
        </w:rPr>
        <w:t xml:space="preserve">(e.g., exchange-traded fund) </w:t>
      </w:r>
      <w:r w:rsidR="00D93444" w:rsidRPr="0056173B">
        <w:rPr>
          <w:sz w:val="20"/>
          <w:szCs w:val="20"/>
        </w:rPr>
        <w:t>or other platform currently settle on a T+</w:t>
      </w:r>
      <w:r w:rsidR="008C1A5C" w:rsidRPr="0056173B">
        <w:rPr>
          <w:sz w:val="20"/>
          <w:szCs w:val="20"/>
        </w:rPr>
        <w:t xml:space="preserve">2 </w:t>
      </w:r>
      <w:r w:rsidR="00D93444" w:rsidRPr="0056173B">
        <w:rPr>
          <w:sz w:val="20"/>
          <w:szCs w:val="20"/>
        </w:rPr>
        <w:t>basis and will move to T+</w:t>
      </w:r>
      <w:r w:rsidR="008C1A5C" w:rsidRPr="0056173B">
        <w:rPr>
          <w:sz w:val="20"/>
          <w:szCs w:val="20"/>
        </w:rPr>
        <w:t xml:space="preserve">1 </w:t>
      </w:r>
      <w:r w:rsidR="00D93444" w:rsidRPr="0056173B">
        <w:rPr>
          <w:sz w:val="20"/>
          <w:szCs w:val="20"/>
        </w:rPr>
        <w:t>settlement</w:t>
      </w:r>
      <w:r w:rsidR="00E33D98" w:rsidRPr="0056173B">
        <w:rPr>
          <w:sz w:val="20"/>
          <w:szCs w:val="20"/>
        </w:rPr>
        <w:t xml:space="preserve"> </w:t>
      </w:r>
      <w:r w:rsidR="008C1A5C" w:rsidRPr="0056173B">
        <w:rPr>
          <w:sz w:val="20"/>
          <w:szCs w:val="20"/>
        </w:rPr>
        <w:t>with the U.S</w:t>
      </w:r>
      <w:r w:rsidR="00D93444" w:rsidRPr="0056173B">
        <w:rPr>
          <w:sz w:val="20"/>
          <w:szCs w:val="20"/>
        </w:rPr>
        <w:t>.</w:t>
      </w:r>
    </w:p>
    <w:p w14:paraId="142737C6" w14:textId="77777777" w:rsidR="00D93444" w:rsidRPr="0056173B" w:rsidRDefault="00D93444" w:rsidP="00F62EA3">
      <w:pPr>
        <w:rPr>
          <w:sz w:val="16"/>
          <w:szCs w:val="16"/>
        </w:rPr>
      </w:pPr>
    </w:p>
    <w:tbl>
      <w:tblPr>
        <w:tblStyle w:val="TableGrid"/>
        <w:tblW w:w="11070" w:type="dxa"/>
        <w:tblInd w:w="265" w:type="dxa"/>
        <w:tblLayout w:type="fixed"/>
        <w:tblLook w:val="04A0" w:firstRow="1" w:lastRow="0" w:firstColumn="1" w:lastColumn="0" w:noHBand="0" w:noVBand="1"/>
      </w:tblPr>
      <w:tblGrid>
        <w:gridCol w:w="2068"/>
        <w:gridCol w:w="3692"/>
        <w:gridCol w:w="2430"/>
        <w:gridCol w:w="2880"/>
      </w:tblGrid>
      <w:tr w:rsidR="0056173B" w:rsidRPr="0056173B" w14:paraId="2BC6B14C" w14:textId="77777777" w:rsidTr="0056173B">
        <w:trPr>
          <w:tblHeader/>
        </w:trPr>
        <w:tc>
          <w:tcPr>
            <w:tcW w:w="2068" w:type="dxa"/>
          </w:tcPr>
          <w:p w14:paraId="3F93692B" w14:textId="77777777" w:rsidR="00C4445D" w:rsidRPr="0056173B" w:rsidRDefault="00C4445D" w:rsidP="008A38E7">
            <w:pPr>
              <w:jc w:val="center"/>
              <w:rPr>
                <w:b/>
                <w:sz w:val="20"/>
              </w:rPr>
            </w:pPr>
            <w:r w:rsidRPr="0056173B">
              <w:rPr>
                <w:b/>
                <w:sz w:val="20"/>
              </w:rPr>
              <w:t>Security Type</w:t>
            </w:r>
          </w:p>
        </w:tc>
        <w:tc>
          <w:tcPr>
            <w:tcW w:w="3692" w:type="dxa"/>
          </w:tcPr>
          <w:p w14:paraId="15365FFB" w14:textId="77777777" w:rsidR="00C4445D" w:rsidRPr="0056173B" w:rsidRDefault="00C4445D" w:rsidP="008A38E7">
            <w:pPr>
              <w:jc w:val="center"/>
              <w:rPr>
                <w:b/>
                <w:sz w:val="20"/>
              </w:rPr>
            </w:pPr>
            <w:r w:rsidRPr="0056173B">
              <w:rPr>
                <w:b/>
                <w:sz w:val="20"/>
              </w:rPr>
              <w:t>Description</w:t>
            </w:r>
          </w:p>
        </w:tc>
        <w:tc>
          <w:tcPr>
            <w:tcW w:w="2430" w:type="dxa"/>
          </w:tcPr>
          <w:p w14:paraId="620CCCFD" w14:textId="2015656D" w:rsidR="00C4445D" w:rsidRPr="0056173B" w:rsidRDefault="00637301" w:rsidP="008A38E7">
            <w:pPr>
              <w:jc w:val="center"/>
              <w:rPr>
                <w:b/>
                <w:sz w:val="20"/>
              </w:rPr>
            </w:pPr>
            <w:r w:rsidRPr="0056173B">
              <w:rPr>
                <w:b/>
                <w:sz w:val="20"/>
              </w:rPr>
              <w:t xml:space="preserve">Shorten to </w:t>
            </w:r>
            <w:r w:rsidR="00C4445D" w:rsidRPr="0056173B">
              <w:rPr>
                <w:b/>
                <w:sz w:val="20"/>
              </w:rPr>
              <w:t>T+</w:t>
            </w:r>
            <w:r w:rsidR="00D711A6" w:rsidRPr="0056173B">
              <w:rPr>
                <w:b/>
                <w:sz w:val="20"/>
                <w:szCs w:val="20"/>
              </w:rPr>
              <w:t>1</w:t>
            </w:r>
            <w:r w:rsidR="00C4445D" w:rsidRPr="0056173B">
              <w:rPr>
                <w:b/>
                <w:sz w:val="20"/>
              </w:rPr>
              <w:t>?</w:t>
            </w:r>
            <w:r w:rsidR="00C4445D" w:rsidRPr="0056173B" w:rsidDel="009258DA">
              <w:rPr>
                <w:b/>
                <w:sz w:val="20"/>
              </w:rPr>
              <w:t xml:space="preserve"> </w:t>
            </w:r>
            <w:r w:rsidR="00C4445D" w:rsidRPr="0056173B">
              <w:rPr>
                <w:b/>
                <w:sz w:val="20"/>
              </w:rPr>
              <w:t>Yes/No</w:t>
            </w:r>
          </w:p>
        </w:tc>
        <w:tc>
          <w:tcPr>
            <w:tcW w:w="2880" w:type="dxa"/>
          </w:tcPr>
          <w:p w14:paraId="2020F794" w14:textId="77777777" w:rsidR="00C4445D" w:rsidRPr="0056173B" w:rsidRDefault="00C4445D" w:rsidP="008A38E7">
            <w:pPr>
              <w:jc w:val="center"/>
              <w:rPr>
                <w:b/>
                <w:sz w:val="20"/>
              </w:rPr>
            </w:pPr>
            <w:r w:rsidRPr="0056173B">
              <w:rPr>
                <w:b/>
                <w:sz w:val="20"/>
              </w:rPr>
              <w:t>Comments</w:t>
            </w:r>
          </w:p>
        </w:tc>
      </w:tr>
      <w:tr w:rsidR="00C4445D" w:rsidRPr="0066535E" w14:paraId="29AB3AD5" w14:textId="77777777" w:rsidTr="0056173B">
        <w:tc>
          <w:tcPr>
            <w:tcW w:w="11070" w:type="dxa"/>
            <w:gridSpan w:val="4"/>
            <w:tcBorders>
              <w:bottom w:val="single" w:sz="6" w:space="0" w:color="auto"/>
            </w:tcBorders>
          </w:tcPr>
          <w:p w14:paraId="008C83DC" w14:textId="77777777" w:rsidR="00C4445D" w:rsidRPr="008A38E7" w:rsidRDefault="00D7374E" w:rsidP="008A38E7">
            <w:pPr>
              <w:jc w:val="center"/>
              <w:rPr>
                <w:b/>
                <w:sz w:val="24"/>
              </w:rPr>
            </w:pPr>
            <w:r w:rsidRPr="00DA6EA8">
              <w:rPr>
                <w:b/>
                <w:color w:val="FF0000"/>
                <w:sz w:val="24"/>
              </w:rPr>
              <w:t xml:space="preserve">Investment </w:t>
            </w:r>
            <w:r w:rsidR="00C4445D" w:rsidRPr="00DA6EA8">
              <w:rPr>
                <w:b/>
                <w:color w:val="FF0000"/>
                <w:sz w:val="24"/>
              </w:rPr>
              <w:t>Funds</w:t>
            </w:r>
          </w:p>
        </w:tc>
      </w:tr>
      <w:tr w:rsidR="00CB7246" w:rsidRPr="001A67CD" w14:paraId="250E57E9" w14:textId="77777777" w:rsidTr="0056173B">
        <w:tc>
          <w:tcPr>
            <w:tcW w:w="2068" w:type="dxa"/>
            <w:tcBorders>
              <w:top w:val="single" w:sz="6" w:space="0" w:color="auto"/>
            </w:tcBorders>
          </w:tcPr>
          <w:p w14:paraId="561A8A97" w14:textId="0C8B7D25" w:rsidR="00CB7246" w:rsidRPr="00CB7246" w:rsidRDefault="00CB7246" w:rsidP="00B86F6E">
            <w:pPr>
              <w:ind w:left="339" w:hanging="339"/>
              <w:rPr>
                <w:sz w:val="20"/>
                <w:szCs w:val="20"/>
              </w:rPr>
            </w:pPr>
            <w:r>
              <w:rPr>
                <w:sz w:val="20"/>
                <w:szCs w:val="20"/>
              </w:rPr>
              <w:t>3.</w:t>
            </w:r>
            <w:r>
              <w:rPr>
                <w:sz w:val="20"/>
                <w:szCs w:val="20"/>
              </w:rPr>
              <w:tab/>
            </w:r>
            <w:r w:rsidRPr="00CB7246">
              <w:rPr>
                <w:sz w:val="20"/>
                <w:szCs w:val="20"/>
              </w:rPr>
              <w:t>High-Interest Savings Accounts (HISAs)</w:t>
            </w:r>
          </w:p>
        </w:tc>
        <w:tc>
          <w:tcPr>
            <w:tcW w:w="3692" w:type="dxa"/>
            <w:tcBorders>
              <w:top w:val="single" w:sz="6" w:space="0" w:color="auto"/>
            </w:tcBorders>
          </w:tcPr>
          <w:p w14:paraId="5343B32C" w14:textId="0CC896AF" w:rsidR="00CB7246" w:rsidRPr="001A67CD" w:rsidRDefault="00CB7246" w:rsidP="00D353D8">
            <w:pPr>
              <w:rPr>
                <w:sz w:val="20"/>
                <w:szCs w:val="20"/>
              </w:rPr>
            </w:pPr>
            <w:r w:rsidRPr="001A67CD">
              <w:rPr>
                <w:sz w:val="20"/>
                <w:szCs w:val="20"/>
              </w:rPr>
              <w:t>It is assumed that all HISAs provide timely liquidity (full or partial)</w:t>
            </w:r>
            <w:r w:rsidR="00E33D98">
              <w:rPr>
                <w:sz w:val="20"/>
                <w:szCs w:val="20"/>
              </w:rPr>
              <w:t>.</w:t>
            </w:r>
          </w:p>
        </w:tc>
        <w:tc>
          <w:tcPr>
            <w:tcW w:w="2430" w:type="dxa"/>
            <w:tcBorders>
              <w:top w:val="single" w:sz="6" w:space="0" w:color="auto"/>
            </w:tcBorders>
            <w:vAlign w:val="center"/>
          </w:tcPr>
          <w:p w14:paraId="673D8389" w14:textId="77777777" w:rsidR="00CB7246" w:rsidRPr="00CE792C" w:rsidRDefault="00CB7246" w:rsidP="00D353D8">
            <w:pPr>
              <w:jc w:val="center"/>
              <w:rPr>
                <w:sz w:val="20"/>
                <w:szCs w:val="20"/>
              </w:rPr>
            </w:pPr>
            <w:r w:rsidRPr="00CE792C">
              <w:rPr>
                <w:sz w:val="20"/>
                <w:szCs w:val="20"/>
              </w:rPr>
              <w:t>NO</w:t>
            </w:r>
          </w:p>
        </w:tc>
        <w:tc>
          <w:tcPr>
            <w:tcW w:w="2880" w:type="dxa"/>
            <w:tcBorders>
              <w:top w:val="single" w:sz="6" w:space="0" w:color="auto"/>
            </w:tcBorders>
            <w:vAlign w:val="center"/>
          </w:tcPr>
          <w:p w14:paraId="3DEC15D5" w14:textId="77777777" w:rsidR="00CB7246" w:rsidRPr="00CE792C" w:rsidRDefault="00CB7246" w:rsidP="00D353D8">
            <w:pPr>
              <w:rPr>
                <w:sz w:val="20"/>
                <w:szCs w:val="20"/>
              </w:rPr>
            </w:pPr>
            <w:r w:rsidRPr="00CE792C">
              <w:rPr>
                <w:sz w:val="20"/>
                <w:szCs w:val="20"/>
              </w:rPr>
              <w:t>Already T+1 settlement</w:t>
            </w:r>
          </w:p>
        </w:tc>
      </w:tr>
      <w:tr w:rsidR="00C4445D" w:rsidRPr="00CE792C" w14:paraId="66E90702" w14:textId="77777777" w:rsidTr="0056173B">
        <w:tc>
          <w:tcPr>
            <w:tcW w:w="2068" w:type="dxa"/>
          </w:tcPr>
          <w:p w14:paraId="28FCC1CB" w14:textId="6FE0CD67" w:rsidR="00C4445D" w:rsidRPr="00DA6EA8" w:rsidRDefault="007E1394" w:rsidP="008A38E7">
            <w:pPr>
              <w:ind w:left="339" w:hanging="339"/>
              <w:rPr>
                <w:sz w:val="20"/>
              </w:rPr>
            </w:pPr>
            <w:r>
              <w:rPr>
                <w:sz w:val="20"/>
                <w:szCs w:val="20"/>
              </w:rPr>
              <w:t>4</w:t>
            </w:r>
            <w:r w:rsidR="00CB7246" w:rsidRPr="00DA6EA8">
              <w:rPr>
                <w:sz w:val="20"/>
              </w:rPr>
              <w:t>.</w:t>
            </w:r>
            <w:r w:rsidR="00CB7246" w:rsidRPr="00DA6EA8">
              <w:rPr>
                <w:sz w:val="20"/>
              </w:rPr>
              <w:tab/>
            </w:r>
            <w:r w:rsidR="00C4445D" w:rsidRPr="00DA6EA8">
              <w:rPr>
                <w:sz w:val="20"/>
              </w:rPr>
              <w:t>Money Market Funds</w:t>
            </w:r>
          </w:p>
        </w:tc>
        <w:tc>
          <w:tcPr>
            <w:tcW w:w="3692" w:type="dxa"/>
          </w:tcPr>
          <w:p w14:paraId="03A34182" w14:textId="1E34DB36" w:rsidR="00C4445D" w:rsidRPr="00DA6EA8" w:rsidRDefault="002714E3" w:rsidP="008A38E7">
            <w:pPr>
              <w:rPr>
                <w:sz w:val="20"/>
              </w:rPr>
            </w:pPr>
            <w:r w:rsidRPr="00DA6EA8">
              <w:rPr>
                <w:sz w:val="20"/>
              </w:rPr>
              <w:t>Includes money market exchange-traded funds (ETFs) and money market closed-end funds</w:t>
            </w:r>
            <w:r w:rsidRPr="00F6308E">
              <w:rPr>
                <w:rStyle w:val="acpxkynzsg"/>
                <w:sz w:val="20"/>
                <w:szCs w:val="20"/>
              </w:rPr>
              <w:t xml:space="preserve"> </w:t>
            </w:r>
            <w:r>
              <w:rPr>
                <w:rStyle w:val="acpxkynzsg"/>
                <w:sz w:val="20"/>
                <w:szCs w:val="20"/>
              </w:rPr>
              <w:t>c</w:t>
            </w:r>
            <w:r w:rsidRPr="00F6308E">
              <w:rPr>
                <w:rStyle w:val="acpxkynzsg"/>
                <w:sz w:val="20"/>
                <w:szCs w:val="20"/>
              </w:rPr>
              <w:t>omprised of short-term, or less-than-one-year-term-remaining securities</w:t>
            </w:r>
            <w:r>
              <w:rPr>
                <w:rStyle w:val="acpxkynzsg"/>
                <w:sz w:val="20"/>
                <w:szCs w:val="20"/>
              </w:rPr>
              <w:t>.</w:t>
            </w:r>
            <w:r w:rsidR="00C4445D" w:rsidRPr="001A67CD">
              <w:rPr>
                <w:sz w:val="20"/>
                <w:szCs w:val="20"/>
              </w:rPr>
              <w:t xml:space="preserve"> </w:t>
            </w:r>
          </w:p>
        </w:tc>
        <w:tc>
          <w:tcPr>
            <w:tcW w:w="2430" w:type="dxa"/>
            <w:vAlign w:val="center"/>
          </w:tcPr>
          <w:p w14:paraId="2914CF43" w14:textId="77777777" w:rsidR="00C4445D" w:rsidRPr="00DA6EA8" w:rsidRDefault="00CA5CDE" w:rsidP="008A38E7">
            <w:pPr>
              <w:jc w:val="center"/>
              <w:rPr>
                <w:sz w:val="20"/>
              </w:rPr>
            </w:pPr>
            <w:r w:rsidRPr="00DA6EA8">
              <w:rPr>
                <w:sz w:val="20"/>
              </w:rPr>
              <w:t>NO</w:t>
            </w:r>
          </w:p>
        </w:tc>
        <w:tc>
          <w:tcPr>
            <w:tcW w:w="2880" w:type="dxa"/>
            <w:vAlign w:val="center"/>
          </w:tcPr>
          <w:p w14:paraId="1E6013EC" w14:textId="77777777" w:rsidR="00C4445D" w:rsidRPr="00DA6EA8" w:rsidRDefault="00C4445D" w:rsidP="008A38E7">
            <w:pPr>
              <w:rPr>
                <w:sz w:val="20"/>
              </w:rPr>
            </w:pPr>
            <w:r w:rsidRPr="00DA6EA8">
              <w:rPr>
                <w:sz w:val="20"/>
              </w:rPr>
              <w:t>Already T+1 settlement</w:t>
            </w:r>
          </w:p>
        </w:tc>
      </w:tr>
      <w:tr w:rsidR="0056173B" w:rsidRPr="00CE792C" w14:paraId="78564AE5" w14:textId="77777777" w:rsidTr="0056173B">
        <w:tc>
          <w:tcPr>
            <w:tcW w:w="2068" w:type="dxa"/>
            <w:vMerge w:val="restart"/>
          </w:tcPr>
          <w:p w14:paraId="14BEB7C0" w14:textId="2B818A49" w:rsidR="0056173B" w:rsidRPr="00DA6EA8" w:rsidRDefault="0056173B">
            <w:pPr>
              <w:pStyle w:val="ListParagraph"/>
              <w:numPr>
                <w:ilvl w:val="0"/>
                <w:numId w:val="6"/>
              </w:numPr>
              <w:ind w:left="345"/>
              <w:rPr>
                <w:sz w:val="20"/>
              </w:rPr>
            </w:pPr>
            <w:r w:rsidRPr="00DA6EA8">
              <w:rPr>
                <w:sz w:val="20"/>
              </w:rPr>
              <w:t>Fixed-Income</w:t>
            </w:r>
            <w:r w:rsidRPr="00ED6340">
              <w:rPr>
                <w:sz w:val="20"/>
                <w:szCs w:val="20"/>
              </w:rPr>
              <w:t xml:space="preserve"> </w:t>
            </w:r>
            <w:r w:rsidRPr="00DA6EA8">
              <w:rPr>
                <w:sz w:val="20"/>
              </w:rPr>
              <w:t>Funds</w:t>
            </w:r>
          </w:p>
          <w:p w14:paraId="739BFEA3" w14:textId="3C0D5A33" w:rsidR="0056173B" w:rsidRDefault="0056173B" w:rsidP="007B6A82">
            <w:pPr>
              <w:ind w:left="345" w:hanging="360"/>
              <w:rPr>
                <w:sz w:val="20"/>
                <w:szCs w:val="20"/>
              </w:rPr>
            </w:pPr>
            <w:r w:rsidRPr="00DA6EA8">
              <w:rPr>
                <w:sz w:val="20"/>
              </w:rPr>
              <w:t>18.</w:t>
            </w:r>
            <w:r>
              <w:rPr>
                <w:sz w:val="20"/>
                <w:szCs w:val="20"/>
              </w:rPr>
              <w:tab/>
            </w:r>
            <w:r w:rsidRPr="00DA6EA8">
              <w:rPr>
                <w:sz w:val="20"/>
              </w:rPr>
              <w:t>Equity Funds</w:t>
            </w:r>
          </w:p>
          <w:p w14:paraId="71833CDB" w14:textId="677EFEF8" w:rsidR="0056173B" w:rsidRDefault="0056173B" w:rsidP="002E3BF8">
            <w:pPr>
              <w:ind w:left="345" w:hanging="360"/>
              <w:rPr>
                <w:sz w:val="20"/>
                <w:szCs w:val="20"/>
              </w:rPr>
            </w:pPr>
            <w:r>
              <w:rPr>
                <w:sz w:val="20"/>
                <w:szCs w:val="20"/>
              </w:rPr>
              <w:lastRenderedPageBreak/>
              <w:t>31.</w:t>
            </w:r>
            <w:r>
              <w:rPr>
                <w:sz w:val="20"/>
                <w:szCs w:val="20"/>
              </w:rPr>
              <w:tab/>
            </w:r>
            <w:r w:rsidRPr="00DA6EA8">
              <w:rPr>
                <w:sz w:val="20"/>
              </w:rPr>
              <w:t>Balanced Funds</w:t>
            </w:r>
            <w:r>
              <w:rPr>
                <w:sz w:val="20"/>
              </w:rPr>
              <w:t xml:space="preserve"> </w:t>
            </w:r>
          </w:p>
          <w:p w14:paraId="4284B4C4" w14:textId="70C392D8" w:rsidR="0056173B" w:rsidRPr="00DA6EA8" w:rsidRDefault="0056173B" w:rsidP="008A38E7">
            <w:pPr>
              <w:ind w:left="345" w:hanging="360"/>
              <w:rPr>
                <w:sz w:val="20"/>
              </w:rPr>
            </w:pPr>
            <w:r>
              <w:rPr>
                <w:sz w:val="20"/>
                <w:szCs w:val="20"/>
              </w:rPr>
              <w:t>And others</w:t>
            </w:r>
          </w:p>
        </w:tc>
        <w:tc>
          <w:tcPr>
            <w:tcW w:w="3692" w:type="dxa"/>
          </w:tcPr>
          <w:p w14:paraId="78179F49" w14:textId="77777777" w:rsidR="0056173B" w:rsidRPr="00DA6EA8" w:rsidRDefault="0056173B" w:rsidP="0056173B">
            <w:pPr>
              <w:keepNext/>
              <w:keepLines/>
              <w:rPr>
                <w:sz w:val="20"/>
              </w:rPr>
            </w:pPr>
            <w:r w:rsidRPr="00DA6EA8">
              <w:rPr>
                <w:sz w:val="20"/>
              </w:rPr>
              <w:lastRenderedPageBreak/>
              <w:t>Funds include the following:</w:t>
            </w:r>
          </w:p>
        </w:tc>
        <w:tc>
          <w:tcPr>
            <w:tcW w:w="2430" w:type="dxa"/>
            <w:vMerge w:val="restart"/>
            <w:vAlign w:val="center"/>
          </w:tcPr>
          <w:p w14:paraId="3D46BCCA" w14:textId="674A1FBB" w:rsidR="0056173B" w:rsidRPr="008A38E7" w:rsidRDefault="0056173B" w:rsidP="008A38E7">
            <w:pPr>
              <w:jc w:val="center"/>
              <w:rPr>
                <w:b/>
                <w:sz w:val="20"/>
                <w:lang w:val="en-US"/>
              </w:rPr>
            </w:pPr>
            <w:r>
              <w:rPr>
                <w:b/>
                <w:bCs/>
                <w:sz w:val="20"/>
                <w:szCs w:val="20"/>
                <w:highlight w:val="yellow"/>
              </w:rPr>
              <w:t>Under review by the mutual funds industry</w:t>
            </w:r>
          </w:p>
        </w:tc>
        <w:tc>
          <w:tcPr>
            <w:tcW w:w="2880" w:type="dxa"/>
            <w:vMerge w:val="restart"/>
          </w:tcPr>
          <w:p w14:paraId="5DC5623B" w14:textId="39B6106C" w:rsidR="0056173B" w:rsidRPr="008A38E7" w:rsidRDefault="0056173B" w:rsidP="008A38E7">
            <w:pPr>
              <w:rPr>
                <w:b/>
                <w:i/>
                <w:sz w:val="20"/>
              </w:rPr>
            </w:pPr>
            <w:r>
              <w:rPr>
                <w:bCs/>
                <w:sz w:val="20"/>
                <w:szCs w:val="20"/>
              </w:rPr>
              <w:t>C</w:t>
            </w:r>
            <w:r w:rsidRPr="00F62EA3">
              <w:rPr>
                <w:bCs/>
                <w:sz w:val="20"/>
                <w:szCs w:val="20"/>
              </w:rPr>
              <w:t>heck</w:t>
            </w:r>
            <w:r w:rsidRPr="008A38E7">
              <w:rPr>
                <w:sz w:val="20"/>
              </w:rPr>
              <w:t xml:space="preserve"> fund prospectuses/offering documents for exceptions. </w:t>
            </w:r>
            <w:r>
              <w:rPr>
                <w:bCs/>
                <w:sz w:val="20"/>
                <w:szCs w:val="20"/>
              </w:rPr>
              <w:t xml:space="preserve"> </w:t>
            </w:r>
            <w:r w:rsidRPr="008A38E7">
              <w:rPr>
                <w:b/>
                <w:sz w:val="20"/>
              </w:rPr>
              <w:lastRenderedPageBreak/>
              <w:t>Note</w:t>
            </w:r>
            <w:r w:rsidRPr="0065091C">
              <w:rPr>
                <w:b/>
                <w:sz w:val="20"/>
                <w:szCs w:val="20"/>
              </w:rPr>
              <w:t>:</w:t>
            </w:r>
            <w:r w:rsidRPr="0065091C">
              <w:rPr>
                <w:bCs/>
                <w:sz w:val="20"/>
                <w:szCs w:val="20"/>
              </w:rPr>
              <w:t xml:space="preserve"> </w:t>
            </w:r>
            <w:r>
              <w:rPr>
                <w:bCs/>
                <w:sz w:val="20"/>
                <w:szCs w:val="20"/>
              </w:rPr>
              <w:t>T</w:t>
            </w:r>
            <w:r w:rsidRPr="0065091C">
              <w:rPr>
                <w:bCs/>
                <w:sz w:val="20"/>
                <w:szCs w:val="20"/>
              </w:rPr>
              <w:t>he</w:t>
            </w:r>
            <w:r w:rsidRPr="008A38E7">
              <w:rPr>
                <w:sz w:val="20"/>
              </w:rPr>
              <w:t xml:space="preserve"> settlement cycle for transactions involving physical certificates and non-redeemable investment funds, as well as direct purchases from the fund manufacturer, are not expected to change as a result of the move to T+</w:t>
            </w:r>
            <w:r w:rsidRPr="0065091C">
              <w:rPr>
                <w:bCs/>
                <w:sz w:val="20"/>
                <w:szCs w:val="20"/>
              </w:rPr>
              <w:t>1</w:t>
            </w:r>
            <w:r w:rsidRPr="008A38E7">
              <w:rPr>
                <w:sz w:val="20"/>
              </w:rPr>
              <w:t>.</w:t>
            </w:r>
          </w:p>
        </w:tc>
      </w:tr>
      <w:tr w:rsidR="0056173B" w:rsidRPr="00CE792C" w14:paraId="2D680E7B" w14:textId="77777777" w:rsidTr="0056173B">
        <w:tc>
          <w:tcPr>
            <w:tcW w:w="2068" w:type="dxa"/>
            <w:vMerge/>
          </w:tcPr>
          <w:p w14:paraId="21842EC0" w14:textId="77777777" w:rsidR="0056173B" w:rsidRPr="008A38E7" w:rsidRDefault="0056173B">
            <w:pPr>
              <w:pStyle w:val="ListParagraph"/>
              <w:numPr>
                <w:ilvl w:val="0"/>
                <w:numId w:val="6"/>
              </w:numPr>
              <w:rPr>
                <w:sz w:val="20"/>
              </w:rPr>
            </w:pPr>
          </w:p>
        </w:tc>
        <w:tc>
          <w:tcPr>
            <w:tcW w:w="3692" w:type="dxa"/>
          </w:tcPr>
          <w:p w14:paraId="67024374" w14:textId="4CE12378" w:rsidR="0056173B" w:rsidRPr="00DA6EA8" w:rsidRDefault="0056173B" w:rsidP="0056173B">
            <w:pPr>
              <w:pStyle w:val="ListParagraph"/>
              <w:keepNext/>
              <w:keepLines/>
              <w:numPr>
                <w:ilvl w:val="0"/>
                <w:numId w:val="3"/>
              </w:numPr>
              <w:rPr>
                <w:sz w:val="20"/>
              </w:rPr>
            </w:pPr>
            <w:r w:rsidRPr="00DA6EA8">
              <w:rPr>
                <w:sz w:val="20"/>
              </w:rPr>
              <w:t xml:space="preserve">Mutual </w:t>
            </w:r>
            <w:r>
              <w:rPr>
                <w:sz w:val="20"/>
                <w:szCs w:val="20"/>
              </w:rPr>
              <w:t>f</w:t>
            </w:r>
            <w:r w:rsidRPr="001A67CD">
              <w:rPr>
                <w:sz w:val="20"/>
                <w:szCs w:val="20"/>
              </w:rPr>
              <w:t>unds</w:t>
            </w:r>
          </w:p>
        </w:tc>
        <w:tc>
          <w:tcPr>
            <w:tcW w:w="2430" w:type="dxa"/>
            <w:vMerge/>
          </w:tcPr>
          <w:p w14:paraId="5CE2B2D3" w14:textId="77777777" w:rsidR="0056173B" w:rsidRPr="00DA6EA8" w:rsidRDefault="0056173B" w:rsidP="000D4B11">
            <w:pPr>
              <w:jc w:val="center"/>
              <w:rPr>
                <w:sz w:val="20"/>
              </w:rPr>
            </w:pPr>
          </w:p>
        </w:tc>
        <w:tc>
          <w:tcPr>
            <w:tcW w:w="2880" w:type="dxa"/>
            <w:vMerge/>
          </w:tcPr>
          <w:p w14:paraId="7FF321E3" w14:textId="77777777" w:rsidR="0056173B" w:rsidRPr="00DA6EA8" w:rsidRDefault="0056173B" w:rsidP="000D4B11">
            <w:pPr>
              <w:rPr>
                <w:sz w:val="20"/>
              </w:rPr>
            </w:pPr>
          </w:p>
        </w:tc>
      </w:tr>
      <w:tr w:rsidR="0056173B" w:rsidRPr="00CE792C" w14:paraId="3EA9740E" w14:textId="77777777" w:rsidTr="0056173B">
        <w:trPr>
          <w:trHeight w:val="305"/>
        </w:trPr>
        <w:tc>
          <w:tcPr>
            <w:tcW w:w="2068" w:type="dxa"/>
            <w:vMerge/>
          </w:tcPr>
          <w:p w14:paraId="0C0058D5" w14:textId="77777777" w:rsidR="0056173B" w:rsidRPr="00DA6EA8" w:rsidRDefault="0056173B">
            <w:pPr>
              <w:pStyle w:val="ListParagraph"/>
              <w:numPr>
                <w:ilvl w:val="0"/>
                <w:numId w:val="6"/>
              </w:numPr>
              <w:rPr>
                <w:sz w:val="20"/>
              </w:rPr>
            </w:pPr>
          </w:p>
        </w:tc>
        <w:tc>
          <w:tcPr>
            <w:tcW w:w="3692" w:type="dxa"/>
          </w:tcPr>
          <w:p w14:paraId="045C962F" w14:textId="6BC92732" w:rsidR="0056173B" w:rsidRPr="00DA6EA8" w:rsidRDefault="0056173B" w:rsidP="000D4B11">
            <w:pPr>
              <w:pStyle w:val="ListParagraph"/>
              <w:numPr>
                <w:ilvl w:val="0"/>
                <w:numId w:val="3"/>
              </w:numPr>
              <w:rPr>
                <w:sz w:val="20"/>
              </w:rPr>
            </w:pPr>
            <w:r>
              <w:rPr>
                <w:sz w:val="20"/>
                <w:szCs w:val="20"/>
              </w:rPr>
              <w:t>Other i</w:t>
            </w:r>
            <w:r w:rsidRPr="001A67CD">
              <w:rPr>
                <w:sz w:val="20"/>
                <w:szCs w:val="20"/>
              </w:rPr>
              <w:t xml:space="preserve">nvestment </w:t>
            </w:r>
            <w:r>
              <w:rPr>
                <w:sz w:val="20"/>
                <w:szCs w:val="20"/>
              </w:rPr>
              <w:t>f</w:t>
            </w:r>
            <w:r w:rsidRPr="001A67CD">
              <w:rPr>
                <w:sz w:val="20"/>
                <w:szCs w:val="20"/>
              </w:rPr>
              <w:t>unds</w:t>
            </w:r>
          </w:p>
        </w:tc>
        <w:tc>
          <w:tcPr>
            <w:tcW w:w="2430" w:type="dxa"/>
            <w:vMerge/>
          </w:tcPr>
          <w:p w14:paraId="6EFA4264" w14:textId="77777777" w:rsidR="0056173B" w:rsidRPr="00DA6EA8" w:rsidRDefault="0056173B" w:rsidP="000D4B11">
            <w:pPr>
              <w:jc w:val="center"/>
              <w:rPr>
                <w:sz w:val="20"/>
              </w:rPr>
            </w:pPr>
          </w:p>
        </w:tc>
        <w:tc>
          <w:tcPr>
            <w:tcW w:w="2880" w:type="dxa"/>
            <w:vMerge/>
          </w:tcPr>
          <w:p w14:paraId="11D1F4CF" w14:textId="77777777" w:rsidR="0056173B" w:rsidRPr="00DA6EA8" w:rsidRDefault="0056173B" w:rsidP="000D4B11">
            <w:pPr>
              <w:rPr>
                <w:sz w:val="20"/>
              </w:rPr>
            </w:pPr>
          </w:p>
        </w:tc>
      </w:tr>
      <w:tr w:rsidR="0056173B" w:rsidRPr="00CE792C" w14:paraId="676D57F9" w14:textId="77777777" w:rsidTr="0056173B">
        <w:tc>
          <w:tcPr>
            <w:tcW w:w="2068" w:type="dxa"/>
            <w:vMerge/>
          </w:tcPr>
          <w:p w14:paraId="05D6022C" w14:textId="77777777" w:rsidR="0056173B" w:rsidRPr="00DA6EA8" w:rsidRDefault="0056173B">
            <w:pPr>
              <w:pStyle w:val="ListParagraph"/>
              <w:numPr>
                <w:ilvl w:val="0"/>
                <w:numId w:val="6"/>
              </w:numPr>
              <w:rPr>
                <w:sz w:val="20"/>
              </w:rPr>
            </w:pPr>
          </w:p>
        </w:tc>
        <w:tc>
          <w:tcPr>
            <w:tcW w:w="3692" w:type="dxa"/>
          </w:tcPr>
          <w:p w14:paraId="7E1E1797" w14:textId="66C99608" w:rsidR="0056173B" w:rsidRPr="00DA6EA8" w:rsidRDefault="0056173B" w:rsidP="000D4B11">
            <w:pPr>
              <w:pStyle w:val="ListParagraph"/>
              <w:numPr>
                <w:ilvl w:val="0"/>
                <w:numId w:val="3"/>
              </w:numPr>
              <w:rPr>
                <w:sz w:val="20"/>
              </w:rPr>
            </w:pPr>
            <w:r w:rsidRPr="00DA6EA8">
              <w:rPr>
                <w:sz w:val="20"/>
              </w:rPr>
              <w:t xml:space="preserve">Pooled </w:t>
            </w:r>
            <w:r>
              <w:rPr>
                <w:sz w:val="20"/>
                <w:szCs w:val="20"/>
              </w:rPr>
              <w:t>f</w:t>
            </w:r>
            <w:r w:rsidRPr="001A67CD">
              <w:rPr>
                <w:sz w:val="20"/>
                <w:szCs w:val="20"/>
              </w:rPr>
              <w:t>unds</w:t>
            </w:r>
            <w:r>
              <w:rPr>
                <w:sz w:val="20"/>
                <w:szCs w:val="20"/>
              </w:rPr>
              <w:t xml:space="preserve"> (including fund of funds)</w:t>
            </w:r>
          </w:p>
        </w:tc>
        <w:tc>
          <w:tcPr>
            <w:tcW w:w="2430" w:type="dxa"/>
            <w:vMerge/>
          </w:tcPr>
          <w:p w14:paraId="637BF23E" w14:textId="77777777" w:rsidR="0056173B" w:rsidRPr="00DA6EA8" w:rsidRDefault="0056173B" w:rsidP="000D4B11">
            <w:pPr>
              <w:jc w:val="center"/>
              <w:rPr>
                <w:sz w:val="20"/>
              </w:rPr>
            </w:pPr>
          </w:p>
        </w:tc>
        <w:tc>
          <w:tcPr>
            <w:tcW w:w="2880" w:type="dxa"/>
            <w:vMerge/>
          </w:tcPr>
          <w:p w14:paraId="25090E11" w14:textId="77777777" w:rsidR="0056173B" w:rsidRPr="00DA6EA8" w:rsidRDefault="0056173B" w:rsidP="000D4B11">
            <w:pPr>
              <w:rPr>
                <w:sz w:val="20"/>
              </w:rPr>
            </w:pPr>
          </w:p>
        </w:tc>
      </w:tr>
      <w:tr w:rsidR="0056173B" w:rsidRPr="00CE792C" w14:paraId="4B5EFEB6" w14:textId="77777777" w:rsidTr="0056173B">
        <w:tc>
          <w:tcPr>
            <w:tcW w:w="2068" w:type="dxa"/>
            <w:vMerge/>
          </w:tcPr>
          <w:p w14:paraId="68D4D554" w14:textId="77777777" w:rsidR="0056173B" w:rsidRPr="00DA6EA8" w:rsidRDefault="0056173B">
            <w:pPr>
              <w:pStyle w:val="ListParagraph"/>
              <w:numPr>
                <w:ilvl w:val="0"/>
                <w:numId w:val="6"/>
              </w:numPr>
              <w:rPr>
                <w:sz w:val="20"/>
              </w:rPr>
            </w:pPr>
          </w:p>
        </w:tc>
        <w:tc>
          <w:tcPr>
            <w:tcW w:w="3692" w:type="dxa"/>
          </w:tcPr>
          <w:p w14:paraId="4808EA9B" w14:textId="104FFE6D" w:rsidR="0056173B" w:rsidRPr="00DA6EA8" w:rsidRDefault="0056173B" w:rsidP="000D4B11">
            <w:pPr>
              <w:pStyle w:val="ListParagraph"/>
              <w:numPr>
                <w:ilvl w:val="0"/>
                <w:numId w:val="3"/>
              </w:numPr>
              <w:rPr>
                <w:sz w:val="20"/>
              </w:rPr>
            </w:pPr>
            <w:r w:rsidRPr="00DA6EA8">
              <w:rPr>
                <w:sz w:val="20"/>
              </w:rPr>
              <w:t xml:space="preserve">Common </w:t>
            </w:r>
            <w:r>
              <w:rPr>
                <w:sz w:val="20"/>
                <w:szCs w:val="20"/>
              </w:rPr>
              <w:t>t</w:t>
            </w:r>
            <w:r w:rsidRPr="001A67CD">
              <w:rPr>
                <w:sz w:val="20"/>
                <w:szCs w:val="20"/>
              </w:rPr>
              <w:t xml:space="preserve">rust </w:t>
            </w:r>
            <w:r>
              <w:rPr>
                <w:sz w:val="20"/>
                <w:szCs w:val="20"/>
              </w:rPr>
              <w:t>f</w:t>
            </w:r>
            <w:r w:rsidRPr="001A67CD">
              <w:rPr>
                <w:sz w:val="20"/>
                <w:szCs w:val="20"/>
              </w:rPr>
              <w:t xml:space="preserve">unds </w:t>
            </w:r>
          </w:p>
        </w:tc>
        <w:tc>
          <w:tcPr>
            <w:tcW w:w="2430" w:type="dxa"/>
            <w:vMerge/>
          </w:tcPr>
          <w:p w14:paraId="191D1626" w14:textId="77777777" w:rsidR="0056173B" w:rsidRPr="00DA6EA8" w:rsidRDefault="0056173B" w:rsidP="008A38E7">
            <w:pPr>
              <w:jc w:val="center"/>
              <w:rPr>
                <w:sz w:val="20"/>
              </w:rPr>
            </w:pPr>
          </w:p>
        </w:tc>
        <w:tc>
          <w:tcPr>
            <w:tcW w:w="2880" w:type="dxa"/>
            <w:vMerge/>
          </w:tcPr>
          <w:p w14:paraId="0BE7817B" w14:textId="77777777" w:rsidR="0056173B" w:rsidRPr="00DA6EA8" w:rsidRDefault="0056173B" w:rsidP="008A38E7">
            <w:pPr>
              <w:rPr>
                <w:sz w:val="20"/>
              </w:rPr>
            </w:pPr>
          </w:p>
        </w:tc>
      </w:tr>
      <w:tr w:rsidR="0056173B" w:rsidRPr="00CE792C" w14:paraId="0C28B887" w14:textId="77777777" w:rsidTr="0056173B">
        <w:trPr>
          <w:trHeight w:val="242"/>
        </w:trPr>
        <w:tc>
          <w:tcPr>
            <w:tcW w:w="2068" w:type="dxa"/>
            <w:vMerge/>
          </w:tcPr>
          <w:p w14:paraId="165E5A58" w14:textId="77777777" w:rsidR="0056173B" w:rsidRPr="00DA6EA8" w:rsidRDefault="0056173B">
            <w:pPr>
              <w:pStyle w:val="ListParagraph"/>
              <w:numPr>
                <w:ilvl w:val="0"/>
                <w:numId w:val="6"/>
              </w:numPr>
              <w:rPr>
                <w:sz w:val="20"/>
              </w:rPr>
            </w:pPr>
          </w:p>
        </w:tc>
        <w:tc>
          <w:tcPr>
            <w:tcW w:w="3692" w:type="dxa"/>
          </w:tcPr>
          <w:p w14:paraId="3CBCADB9" w14:textId="72785C75" w:rsidR="0056173B" w:rsidRPr="00DA6EA8" w:rsidRDefault="0056173B" w:rsidP="000D4B11">
            <w:pPr>
              <w:pStyle w:val="ListParagraph"/>
              <w:numPr>
                <w:ilvl w:val="0"/>
                <w:numId w:val="3"/>
              </w:numPr>
              <w:rPr>
                <w:sz w:val="20"/>
              </w:rPr>
            </w:pPr>
            <w:r w:rsidRPr="00DA6EA8">
              <w:rPr>
                <w:sz w:val="20"/>
              </w:rPr>
              <w:t>Index-</w:t>
            </w:r>
            <w:r>
              <w:rPr>
                <w:sz w:val="20"/>
                <w:szCs w:val="20"/>
              </w:rPr>
              <w:t>replicating vehicles</w:t>
            </w:r>
            <w:r w:rsidRPr="00DA6EA8">
              <w:rPr>
                <w:sz w:val="20"/>
              </w:rPr>
              <w:t xml:space="preserve"> (IRVs)</w:t>
            </w:r>
            <w:r>
              <w:rPr>
                <w:sz w:val="20"/>
                <w:szCs w:val="20"/>
              </w:rPr>
              <w:t xml:space="preserve"> (including fixed-income, equity and balanced)</w:t>
            </w:r>
          </w:p>
        </w:tc>
        <w:tc>
          <w:tcPr>
            <w:tcW w:w="2430" w:type="dxa"/>
            <w:vMerge/>
          </w:tcPr>
          <w:p w14:paraId="2D615E30" w14:textId="77777777" w:rsidR="0056173B" w:rsidRPr="00DA6EA8" w:rsidRDefault="0056173B" w:rsidP="000D4B11">
            <w:pPr>
              <w:jc w:val="center"/>
              <w:rPr>
                <w:sz w:val="20"/>
              </w:rPr>
            </w:pPr>
          </w:p>
        </w:tc>
        <w:tc>
          <w:tcPr>
            <w:tcW w:w="2880" w:type="dxa"/>
            <w:vMerge/>
          </w:tcPr>
          <w:p w14:paraId="0B6711F6" w14:textId="77777777" w:rsidR="0056173B" w:rsidRPr="00DA6EA8" w:rsidRDefault="0056173B" w:rsidP="000D4B11">
            <w:pPr>
              <w:rPr>
                <w:sz w:val="20"/>
              </w:rPr>
            </w:pPr>
          </w:p>
        </w:tc>
      </w:tr>
      <w:tr w:rsidR="0056173B" w:rsidRPr="00CE792C" w14:paraId="171A15A6" w14:textId="77777777" w:rsidTr="0056173B">
        <w:trPr>
          <w:trHeight w:val="242"/>
        </w:trPr>
        <w:tc>
          <w:tcPr>
            <w:tcW w:w="2068" w:type="dxa"/>
            <w:vMerge/>
          </w:tcPr>
          <w:p w14:paraId="0A50DD8E" w14:textId="77777777" w:rsidR="0056173B" w:rsidRPr="00896877" w:rsidRDefault="0056173B">
            <w:pPr>
              <w:pStyle w:val="ListParagraph"/>
              <w:numPr>
                <w:ilvl w:val="0"/>
                <w:numId w:val="6"/>
              </w:numPr>
              <w:rPr>
                <w:sz w:val="20"/>
                <w:szCs w:val="20"/>
              </w:rPr>
            </w:pPr>
          </w:p>
        </w:tc>
        <w:tc>
          <w:tcPr>
            <w:tcW w:w="3692" w:type="dxa"/>
          </w:tcPr>
          <w:p w14:paraId="5B5057EB" w14:textId="2397265D" w:rsidR="0056173B" w:rsidRPr="001A67CD" w:rsidRDefault="0056173B" w:rsidP="00B312B8">
            <w:pPr>
              <w:pStyle w:val="ListParagraph"/>
              <w:numPr>
                <w:ilvl w:val="0"/>
                <w:numId w:val="3"/>
              </w:numPr>
              <w:rPr>
                <w:sz w:val="20"/>
                <w:szCs w:val="20"/>
              </w:rPr>
            </w:pPr>
            <w:r>
              <w:rPr>
                <w:sz w:val="20"/>
                <w:szCs w:val="20"/>
              </w:rPr>
              <w:t>C</w:t>
            </w:r>
            <w:r w:rsidRPr="003B26B6">
              <w:rPr>
                <w:sz w:val="20"/>
                <w:szCs w:val="20"/>
              </w:rPr>
              <w:t>losed-end funds</w:t>
            </w:r>
            <w:r>
              <w:rPr>
                <w:sz w:val="20"/>
                <w:szCs w:val="20"/>
              </w:rPr>
              <w:t xml:space="preserve"> (CEFs)</w:t>
            </w:r>
          </w:p>
        </w:tc>
        <w:tc>
          <w:tcPr>
            <w:tcW w:w="2430" w:type="dxa"/>
          </w:tcPr>
          <w:p w14:paraId="3449A937" w14:textId="4BE0E567" w:rsidR="0056173B" w:rsidRPr="00224123" w:rsidRDefault="0056173B" w:rsidP="00B312B8">
            <w:pPr>
              <w:jc w:val="center"/>
              <w:rPr>
                <w:b/>
                <w:bCs/>
                <w:sz w:val="20"/>
                <w:szCs w:val="20"/>
              </w:rPr>
            </w:pPr>
            <w:r w:rsidRPr="00224123">
              <w:rPr>
                <w:b/>
                <w:bCs/>
                <w:sz w:val="20"/>
                <w:szCs w:val="20"/>
              </w:rPr>
              <w:t>YES</w:t>
            </w:r>
          </w:p>
        </w:tc>
        <w:tc>
          <w:tcPr>
            <w:tcW w:w="2880" w:type="dxa"/>
          </w:tcPr>
          <w:p w14:paraId="08ED6A77" w14:textId="77777777" w:rsidR="0056173B" w:rsidRPr="00CE792C" w:rsidRDefault="0056173B" w:rsidP="00B312B8">
            <w:pPr>
              <w:rPr>
                <w:sz w:val="20"/>
                <w:szCs w:val="20"/>
              </w:rPr>
            </w:pPr>
          </w:p>
        </w:tc>
      </w:tr>
      <w:tr w:rsidR="0056173B" w:rsidRPr="00CE792C" w14:paraId="792EDA53" w14:textId="77777777" w:rsidTr="0056173B">
        <w:trPr>
          <w:trHeight w:val="242"/>
        </w:trPr>
        <w:tc>
          <w:tcPr>
            <w:tcW w:w="2068" w:type="dxa"/>
            <w:vMerge/>
          </w:tcPr>
          <w:p w14:paraId="5D735798" w14:textId="77777777" w:rsidR="0056173B" w:rsidRPr="00896877" w:rsidRDefault="0056173B">
            <w:pPr>
              <w:pStyle w:val="ListParagraph"/>
              <w:numPr>
                <w:ilvl w:val="0"/>
                <w:numId w:val="6"/>
              </w:numPr>
              <w:rPr>
                <w:sz w:val="20"/>
                <w:szCs w:val="20"/>
              </w:rPr>
            </w:pPr>
          </w:p>
        </w:tc>
        <w:tc>
          <w:tcPr>
            <w:tcW w:w="3692" w:type="dxa"/>
          </w:tcPr>
          <w:p w14:paraId="2CF45D7A" w14:textId="49307E8C" w:rsidR="0056173B" w:rsidRPr="001A67CD" w:rsidRDefault="0056173B" w:rsidP="00B312B8">
            <w:pPr>
              <w:pStyle w:val="ListParagraph"/>
              <w:numPr>
                <w:ilvl w:val="0"/>
                <w:numId w:val="3"/>
              </w:numPr>
              <w:rPr>
                <w:sz w:val="20"/>
                <w:szCs w:val="20"/>
              </w:rPr>
            </w:pPr>
            <w:r w:rsidRPr="003B26B6">
              <w:rPr>
                <w:sz w:val="20"/>
                <w:szCs w:val="20"/>
              </w:rPr>
              <w:t>ETFs</w:t>
            </w:r>
          </w:p>
        </w:tc>
        <w:tc>
          <w:tcPr>
            <w:tcW w:w="2430" w:type="dxa"/>
          </w:tcPr>
          <w:p w14:paraId="35B2E371" w14:textId="5BC4D1BC" w:rsidR="0056173B" w:rsidRPr="00224123" w:rsidRDefault="0056173B" w:rsidP="00B312B8">
            <w:pPr>
              <w:jc w:val="center"/>
              <w:rPr>
                <w:b/>
                <w:bCs/>
                <w:sz w:val="20"/>
                <w:szCs w:val="20"/>
              </w:rPr>
            </w:pPr>
            <w:r w:rsidRPr="00224123">
              <w:rPr>
                <w:b/>
                <w:bCs/>
                <w:sz w:val="20"/>
                <w:szCs w:val="20"/>
              </w:rPr>
              <w:t>YES</w:t>
            </w:r>
          </w:p>
        </w:tc>
        <w:tc>
          <w:tcPr>
            <w:tcW w:w="2880" w:type="dxa"/>
          </w:tcPr>
          <w:p w14:paraId="2ACC42E3" w14:textId="77777777" w:rsidR="0056173B" w:rsidRPr="00CE792C" w:rsidRDefault="0056173B" w:rsidP="00B312B8">
            <w:pPr>
              <w:rPr>
                <w:sz w:val="20"/>
                <w:szCs w:val="20"/>
              </w:rPr>
            </w:pPr>
          </w:p>
        </w:tc>
      </w:tr>
      <w:tr w:rsidR="0056173B" w:rsidRPr="00CE792C" w14:paraId="46D4D6C7" w14:textId="77777777" w:rsidTr="0056173B">
        <w:trPr>
          <w:trHeight w:val="242"/>
        </w:trPr>
        <w:tc>
          <w:tcPr>
            <w:tcW w:w="2068" w:type="dxa"/>
            <w:vMerge/>
          </w:tcPr>
          <w:p w14:paraId="4CF1D9E3" w14:textId="77777777" w:rsidR="0056173B" w:rsidRPr="00896877" w:rsidRDefault="0056173B">
            <w:pPr>
              <w:pStyle w:val="ListParagraph"/>
              <w:numPr>
                <w:ilvl w:val="0"/>
                <w:numId w:val="6"/>
              </w:numPr>
              <w:rPr>
                <w:sz w:val="20"/>
                <w:szCs w:val="20"/>
              </w:rPr>
            </w:pPr>
          </w:p>
        </w:tc>
        <w:tc>
          <w:tcPr>
            <w:tcW w:w="3692" w:type="dxa"/>
          </w:tcPr>
          <w:p w14:paraId="7540AB82" w14:textId="595D1087" w:rsidR="0056173B" w:rsidRPr="001A67CD" w:rsidRDefault="0056173B" w:rsidP="00B312B8">
            <w:pPr>
              <w:pStyle w:val="ListParagraph"/>
              <w:numPr>
                <w:ilvl w:val="0"/>
                <w:numId w:val="3"/>
              </w:numPr>
              <w:rPr>
                <w:sz w:val="20"/>
                <w:szCs w:val="20"/>
              </w:rPr>
            </w:pPr>
            <w:r>
              <w:rPr>
                <w:sz w:val="20"/>
                <w:szCs w:val="20"/>
              </w:rPr>
              <w:t>Platform-traded funds (PTFs)</w:t>
            </w:r>
          </w:p>
        </w:tc>
        <w:tc>
          <w:tcPr>
            <w:tcW w:w="2430" w:type="dxa"/>
            <w:tcBorders>
              <w:bottom w:val="single" w:sz="4" w:space="0" w:color="auto"/>
            </w:tcBorders>
          </w:tcPr>
          <w:p w14:paraId="4D009675" w14:textId="7E6EF87F" w:rsidR="0056173B" w:rsidRPr="00224123" w:rsidRDefault="0056173B" w:rsidP="00B312B8">
            <w:pPr>
              <w:jc w:val="center"/>
              <w:rPr>
                <w:b/>
                <w:bCs/>
                <w:sz w:val="20"/>
                <w:szCs w:val="20"/>
              </w:rPr>
            </w:pPr>
            <w:r w:rsidRPr="00224123">
              <w:rPr>
                <w:b/>
                <w:bCs/>
                <w:sz w:val="20"/>
                <w:szCs w:val="20"/>
              </w:rPr>
              <w:t>YES</w:t>
            </w:r>
          </w:p>
        </w:tc>
        <w:tc>
          <w:tcPr>
            <w:tcW w:w="2880" w:type="dxa"/>
          </w:tcPr>
          <w:p w14:paraId="2A98E6A3" w14:textId="77777777" w:rsidR="0056173B" w:rsidRPr="00CE792C" w:rsidRDefault="0056173B" w:rsidP="00B312B8">
            <w:pPr>
              <w:rPr>
                <w:sz w:val="20"/>
                <w:szCs w:val="20"/>
              </w:rPr>
            </w:pPr>
          </w:p>
        </w:tc>
      </w:tr>
      <w:tr w:rsidR="0056173B" w:rsidRPr="00CE792C" w14:paraId="56F1C79D" w14:textId="77777777" w:rsidTr="0056173B">
        <w:trPr>
          <w:trHeight w:val="255"/>
        </w:trPr>
        <w:tc>
          <w:tcPr>
            <w:tcW w:w="2068" w:type="dxa"/>
            <w:vMerge/>
          </w:tcPr>
          <w:p w14:paraId="113BC253" w14:textId="77777777" w:rsidR="0056173B" w:rsidRPr="00DA6EA8" w:rsidRDefault="0056173B">
            <w:pPr>
              <w:pStyle w:val="ListParagraph"/>
              <w:numPr>
                <w:ilvl w:val="0"/>
                <w:numId w:val="6"/>
              </w:numPr>
              <w:rPr>
                <w:sz w:val="20"/>
              </w:rPr>
            </w:pPr>
          </w:p>
        </w:tc>
        <w:tc>
          <w:tcPr>
            <w:tcW w:w="3692" w:type="dxa"/>
          </w:tcPr>
          <w:p w14:paraId="3C9AB53B" w14:textId="653BBA07" w:rsidR="0056173B" w:rsidRPr="00DA6EA8" w:rsidRDefault="0056173B" w:rsidP="007355B4">
            <w:pPr>
              <w:pStyle w:val="ListParagraph"/>
              <w:numPr>
                <w:ilvl w:val="0"/>
                <w:numId w:val="3"/>
              </w:numPr>
              <w:rPr>
                <w:sz w:val="20"/>
              </w:rPr>
            </w:pPr>
            <w:r w:rsidRPr="00DA6EA8">
              <w:rPr>
                <w:sz w:val="20"/>
              </w:rPr>
              <w:t xml:space="preserve">Private </w:t>
            </w:r>
            <w:r w:rsidRPr="00224123">
              <w:rPr>
                <w:sz w:val="20"/>
                <w:szCs w:val="20"/>
              </w:rPr>
              <w:t>equity funds</w:t>
            </w:r>
          </w:p>
        </w:tc>
        <w:tc>
          <w:tcPr>
            <w:tcW w:w="2430" w:type="dxa"/>
            <w:shd w:val="clear" w:color="auto" w:fill="FFFFFF" w:themeFill="background1"/>
          </w:tcPr>
          <w:p w14:paraId="1627726D" w14:textId="080FAA9B" w:rsidR="0056173B" w:rsidRPr="007355B4" w:rsidRDefault="0056173B" w:rsidP="007355B4">
            <w:pPr>
              <w:jc w:val="center"/>
              <w:rPr>
                <w:rFonts w:cs="Times New Roman"/>
                <w:sz w:val="20"/>
                <w:szCs w:val="24"/>
              </w:rPr>
            </w:pPr>
            <w:r w:rsidRPr="007355B4">
              <w:rPr>
                <w:rFonts w:cs="Times New Roman"/>
                <w:sz w:val="20"/>
                <w:szCs w:val="24"/>
              </w:rPr>
              <w:t>Refer prospectus</w:t>
            </w:r>
          </w:p>
        </w:tc>
        <w:tc>
          <w:tcPr>
            <w:tcW w:w="2880" w:type="dxa"/>
          </w:tcPr>
          <w:p w14:paraId="025D78D9" w14:textId="77777777" w:rsidR="0056173B" w:rsidRPr="00DA6EA8" w:rsidRDefault="0056173B" w:rsidP="007355B4">
            <w:pPr>
              <w:rPr>
                <w:sz w:val="20"/>
              </w:rPr>
            </w:pPr>
          </w:p>
        </w:tc>
      </w:tr>
      <w:tr w:rsidR="0056173B" w:rsidRPr="00CE792C" w14:paraId="3B13AF3F" w14:textId="77777777" w:rsidTr="0056173B">
        <w:trPr>
          <w:trHeight w:val="255"/>
        </w:trPr>
        <w:tc>
          <w:tcPr>
            <w:tcW w:w="2068" w:type="dxa"/>
            <w:vMerge/>
          </w:tcPr>
          <w:p w14:paraId="1483C761" w14:textId="77777777" w:rsidR="0056173B" w:rsidRPr="00DA6EA8" w:rsidRDefault="0056173B">
            <w:pPr>
              <w:pStyle w:val="ListParagraph"/>
              <w:numPr>
                <w:ilvl w:val="0"/>
                <w:numId w:val="6"/>
              </w:numPr>
              <w:rPr>
                <w:sz w:val="20"/>
              </w:rPr>
            </w:pPr>
          </w:p>
        </w:tc>
        <w:tc>
          <w:tcPr>
            <w:tcW w:w="3692" w:type="dxa"/>
          </w:tcPr>
          <w:p w14:paraId="1E848997" w14:textId="79239BAC" w:rsidR="0056173B" w:rsidRPr="00DA6EA8" w:rsidRDefault="0056173B" w:rsidP="007355B4">
            <w:pPr>
              <w:pStyle w:val="ListParagraph"/>
              <w:numPr>
                <w:ilvl w:val="0"/>
                <w:numId w:val="3"/>
              </w:numPr>
              <w:rPr>
                <w:sz w:val="20"/>
              </w:rPr>
            </w:pPr>
            <w:r w:rsidRPr="00DA6EA8">
              <w:rPr>
                <w:sz w:val="20"/>
              </w:rPr>
              <w:t xml:space="preserve">Venture </w:t>
            </w:r>
            <w:r w:rsidRPr="00224123">
              <w:rPr>
                <w:sz w:val="20"/>
                <w:szCs w:val="20"/>
              </w:rPr>
              <w:t>capital funds</w:t>
            </w:r>
          </w:p>
        </w:tc>
        <w:tc>
          <w:tcPr>
            <w:tcW w:w="2430" w:type="dxa"/>
            <w:shd w:val="clear" w:color="auto" w:fill="FFFFFF" w:themeFill="background1"/>
          </w:tcPr>
          <w:p w14:paraId="5D9F25EB" w14:textId="06FDE627" w:rsidR="0056173B" w:rsidRPr="007355B4" w:rsidRDefault="0056173B" w:rsidP="007355B4">
            <w:pPr>
              <w:jc w:val="center"/>
              <w:rPr>
                <w:rFonts w:cs="Times New Roman"/>
                <w:sz w:val="20"/>
                <w:szCs w:val="24"/>
              </w:rPr>
            </w:pPr>
            <w:r w:rsidRPr="007355B4">
              <w:rPr>
                <w:rFonts w:cs="Times New Roman"/>
                <w:sz w:val="20"/>
                <w:szCs w:val="24"/>
              </w:rPr>
              <w:t>Refer prospectus</w:t>
            </w:r>
          </w:p>
        </w:tc>
        <w:tc>
          <w:tcPr>
            <w:tcW w:w="2880" w:type="dxa"/>
          </w:tcPr>
          <w:p w14:paraId="3D7E8DD3" w14:textId="77777777" w:rsidR="0056173B" w:rsidRPr="00DA6EA8" w:rsidRDefault="0056173B" w:rsidP="007355B4">
            <w:pPr>
              <w:rPr>
                <w:sz w:val="20"/>
              </w:rPr>
            </w:pPr>
          </w:p>
        </w:tc>
      </w:tr>
      <w:tr w:rsidR="007355B4" w:rsidRPr="00CE792C" w14:paraId="7112AFFE" w14:textId="77777777" w:rsidTr="0056173B">
        <w:trPr>
          <w:trHeight w:val="503"/>
        </w:trPr>
        <w:tc>
          <w:tcPr>
            <w:tcW w:w="2068" w:type="dxa"/>
            <w:vMerge/>
          </w:tcPr>
          <w:p w14:paraId="2649891F" w14:textId="77777777" w:rsidR="007355B4" w:rsidRPr="00DA6EA8" w:rsidRDefault="007355B4">
            <w:pPr>
              <w:pStyle w:val="ListParagraph"/>
              <w:numPr>
                <w:ilvl w:val="0"/>
                <w:numId w:val="6"/>
              </w:numPr>
              <w:rPr>
                <w:sz w:val="20"/>
              </w:rPr>
            </w:pPr>
          </w:p>
        </w:tc>
        <w:tc>
          <w:tcPr>
            <w:tcW w:w="3692" w:type="dxa"/>
          </w:tcPr>
          <w:p w14:paraId="6E1E326A" w14:textId="06D8E710" w:rsidR="007355B4" w:rsidRPr="00DA6EA8" w:rsidRDefault="007355B4" w:rsidP="007355B4">
            <w:pPr>
              <w:pStyle w:val="ListParagraph"/>
              <w:numPr>
                <w:ilvl w:val="0"/>
                <w:numId w:val="3"/>
              </w:numPr>
              <w:rPr>
                <w:sz w:val="20"/>
              </w:rPr>
            </w:pPr>
            <w:r w:rsidRPr="00DA6EA8">
              <w:rPr>
                <w:sz w:val="20"/>
              </w:rPr>
              <w:t xml:space="preserve">Mortgage </w:t>
            </w:r>
            <w:r w:rsidRPr="00224123">
              <w:rPr>
                <w:sz w:val="20"/>
                <w:szCs w:val="20"/>
              </w:rPr>
              <w:t>funds/mortgage investment corporations</w:t>
            </w:r>
            <w:r w:rsidRPr="00DA6EA8">
              <w:rPr>
                <w:sz w:val="20"/>
              </w:rPr>
              <w:t xml:space="preserve"> (MICs)</w:t>
            </w:r>
          </w:p>
        </w:tc>
        <w:tc>
          <w:tcPr>
            <w:tcW w:w="2430" w:type="dxa"/>
            <w:shd w:val="clear" w:color="auto" w:fill="FFFFFF" w:themeFill="background1"/>
          </w:tcPr>
          <w:p w14:paraId="178109A4" w14:textId="3BD6BEAD" w:rsidR="007355B4" w:rsidRPr="007355B4" w:rsidRDefault="007355B4" w:rsidP="007355B4">
            <w:pPr>
              <w:jc w:val="center"/>
              <w:rPr>
                <w:rFonts w:cs="Times New Roman"/>
                <w:sz w:val="20"/>
                <w:szCs w:val="24"/>
              </w:rPr>
            </w:pPr>
            <w:r w:rsidRPr="007355B4">
              <w:rPr>
                <w:rFonts w:cs="Times New Roman"/>
                <w:sz w:val="20"/>
                <w:szCs w:val="24"/>
              </w:rPr>
              <w:t>Refer prospectus</w:t>
            </w:r>
          </w:p>
        </w:tc>
        <w:tc>
          <w:tcPr>
            <w:tcW w:w="2880" w:type="dxa"/>
            <w:vMerge w:val="restart"/>
          </w:tcPr>
          <w:p w14:paraId="4C5B993E" w14:textId="77777777" w:rsidR="007355B4" w:rsidRPr="00DA6EA8" w:rsidRDefault="007355B4" w:rsidP="007355B4">
            <w:pPr>
              <w:rPr>
                <w:sz w:val="20"/>
              </w:rPr>
            </w:pPr>
          </w:p>
        </w:tc>
      </w:tr>
      <w:tr w:rsidR="007355B4" w:rsidRPr="00CE792C" w14:paraId="7DABEAE3" w14:textId="77777777" w:rsidTr="0056173B">
        <w:trPr>
          <w:trHeight w:val="197"/>
        </w:trPr>
        <w:tc>
          <w:tcPr>
            <w:tcW w:w="2068" w:type="dxa"/>
            <w:vMerge/>
          </w:tcPr>
          <w:p w14:paraId="74F6A69F" w14:textId="77777777" w:rsidR="007355B4" w:rsidRPr="00DA6EA8" w:rsidRDefault="007355B4">
            <w:pPr>
              <w:pStyle w:val="ListParagraph"/>
              <w:numPr>
                <w:ilvl w:val="0"/>
                <w:numId w:val="6"/>
              </w:numPr>
              <w:rPr>
                <w:sz w:val="20"/>
              </w:rPr>
            </w:pPr>
          </w:p>
        </w:tc>
        <w:tc>
          <w:tcPr>
            <w:tcW w:w="3692" w:type="dxa"/>
          </w:tcPr>
          <w:p w14:paraId="35630BA3" w14:textId="651DCF2E" w:rsidR="007355B4" w:rsidRPr="00DA6EA8" w:rsidRDefault="007355B4" w:rsidP="007355B4">
            <w:pPr>
              <w:pStyle w:val="ListParagraph"/>
              <w:numPr>
                <w:ilvl w:val="0"/>
                <w:numId w:val="3"/>
              </w:numPr>
              <w:rPr>
                <w:sz w:val="20"/>
              </w:rPr>
            </w:pPr>
            <w:r w:rsidRPr="00DA6EA8">
              <w:rPr>
                <w:sz w:val="20"/>
              </w:rPr>
              <w:t xml:space="preserve">Real </w:t>
            </w:r>
            <w:r w:rsidRPr="00224123">
              <w:rPr>
                <w:sz w:val="20"/>
                <w:szCs w:val="20"/>
              </w:rPr>
              <w:t>estate funds</w:t>
            </w:r>
          </w:p>
        </w:tc>
        <w:tc>
          <w:tcPr>
            <w:tcW w:w="2430" w:type="dxa"/>
            <w:shd w:val="clear" w:color="auto" w:fill="FFFFFF" w:themeFill="background1"/>
          </w:tcPr>
          <w:p w14:paraId="33C23904" w14:textId="7DED56DC" w:rsidR="007355B4" w:rsidRPr="007355B4" w:rsidRDefault="007355B4" w:rsidP="007355B4">
            <w:pPr>
              <w:jc w:val="center"/>
              <w:rPr>
                <w:rFonts w:cs="Times New Roman"/>
                <w:sz w:val="20"/>
                <w:szCs w:val="24"/>
              </w:rPr>
            </w:pPr>
            <w:r w:rsidRPr="007355B4">
              <w:rPr>
                <w:rFonts w:cs="Times New Roman"/>
                <w:sz w:val="20"/>
                <w:szCs w:val="24"/>
              </w:rPr>
              <w:t>Refer prospectus</w:t>
            </w:r>
          </w:p>
        </w:tc>
        <w:tc>
          <w:tcPr>
            <w:tcW w:w="2880" w:type="dxa"/>
            <w:vMerge/>
          </w:tcPr>
          <w:p w14:paraId="3D122F43" w14:textId="77777777" w:rsidR="007355B4" w:rsidRPr="00DA6EA8" w:rsidRDefault="007355B4" w:rsidP="007355B4">
            <w:pPr>
              <w:rPr>
                <w:sz w:val="20"/>
              </w:rPr>
            </w:pPr>
          </w:p>
        </w:tc>
      </w:tr>
      <w:tr w:rsidR="00555251" w:rsidRPr="00F72133" w14:paraId="1243652D" w14:textId="77777777" w:rsidTr="00674B9B">
        <w:tc>
          <w:tcPr>
            <w:tcW w:w="2068" w:type="dxa"/>
          </w:tcPr>
          <w:p w14:paraId="44968EF2" w14:textId="77777777" w:rsidR="00555251" w:rsidRPr="00DA6EA8" w:rsidRDefault="00555251" w:rsidP="00674B9B">
            <w:pPr>
              <w:pStyle w:val="ListParagraph"/>
              <w:numPr>
                <w:ilvl w:val="0"/>
                <w:numId w:val="8"/>
              </w:numPr>
              <w:ind w:left="345"/>
              <w:rPr>
                <w:sz w:val="20"/>
              </w:rPr>
            </w:pPr>
            <w:r w:rsidRPr="00DA6EA8">
              <w:rPr>
                <w:sz w:val="20"/>
              </w:rPr>
              <w:t>Segregated Funds</w:t>
            </w:r>
          </w:p>
        </w:tc>
        <w:tc>
          <w:tcPr>
            <w:tcW w:w="3692" w:type="dxa"/>
          </w:tcPr>
          <w:p w14:paraId="5EF6B939" w14:textId="77777777" w:rsidR="00555251" w:rsidRPr="008A38E7" w:rsidRDefault="00555251" w:rsidP="00674B9B">
            <w:pPr>
              <w:rPr>
                <w:sz w:val="20"/>
              </w:rPr>
            </w:pPr>
            <w:r>
              <w:rPr>
                <w:sz w:val="20"/>
                <w:szCs w:val="20"/>
              </w:rPr>
              <w:t>Pooled</w:t>
            </w:r>
            <w:r w:rsidRPr="008A38E7">
              <w:rPr>
                <w:sz w:val="20"/>
              </w:rPr>
              <w:t xml:space="preserve"> investment, similar to a mutual fund, offered to customers through an Individual Variable Insurance Contract (IVIC). </w:t>
            </w:r>
            <w:r>
              <w:rPr>
                <w:sz w:val="20"/>
                <w:szCs w:val="20"/>
              </w:rPr>
              <w:t> </w:t>
            </w:r>
            <w:r w:rsidRPr="008A38E7">
              <w:rPr>
                <w:sz w:val="20"/>
              </w:rPr>
              <w:t xml:space="preserve">Premiums received by the insurance company are held in segregated funds outside the insurer's general account. </w:t>
            </w:r>
            <w:r>
              <w:rPr>
                <w:sz w:val="20"/>
                <w:szCs w:val="20"/>
              </w:rPr>
              <w:t> </w:t>
            </w:r>
            <w:r w:rsidRPr="008A38E7">
              <w:rPr>
                <w:sz w:val="20"/>
              </w:rPr>
              <w:t>The value of the IVIC varies depending on the performance of the funds selected by the client. At least 75% of the value of premiums is guaranteed at death of the policyholder and maturity of the IVIC.</w:t>
            </w:r>
          </w:p>
        </w:tc>
        <w:tc>
          <w:tcPr>
            <w:tcW w:w="2430" w:type="dxa"/>
            <w:vAlign w:val="center"/>
          </w:tcPr>
          <w:p w14:paraId="3A2C9B58" w14:textId="77777777" w:rsidR="00555251" w:rsidRPr="00DA6EA8" w:rsidRDefault="00555251" w:rsidP="00674B9B">
            <w:pPr>
              <w:jc w:val="center"/>
              <w:rPr>
                <w:b/>
                <w:sz w:val="20"/>
              </w:rPr>
            </w:pPr>
            <w:r>
              <w:rPr>
                <w:b/>
                <w:sz w:val="20"/>
                <w:szCs w:val="20"/>
              </w:rPr>
              <w:t>May vary</w:t>
            </w:r>
          </w:p>
        </w:tc>
        <w:tc>
          <w:tcPr>
            <w:tcW w:w="2880" w:type="dxa"/>
          </w:tcPr>
          <w:p w14:paraId="5C505E6D" w14:textId="77777777" w:rsidR="00555251" w:rsidRPr="00114827" w:rsidRDefault="00555251" w:rsidP="00674B9B">
            <w:pPr>
              <w:spacing w:beforeAutospacing="1" w:after="100" w:afterAutospacing="1"/>
              <w:rPr>
                <w:rFonts w:asciiTheme="minorHAnsi" w:hAnsiTheme="minorHAnsi"/>
                <w:color w:val="000000"/>
                <w:sz w:val="20"/>
                <w:lang w:val="en-US"/>
              </w:rPr>
            </w:pPr>
            <w:r w:rsidRPr="00114827">
              <w:rPr>
                <w:rFonts w:asciiTheme="minorHAnsi" w:eastAsia="Times New Roman" w:hAnsiTheme="minorHAnsi" w:cstheme="minorHAnsi"/>
                <w:b/>
                <w:bCs/>
                <w:color w:val="000000"/>
                <w:sz w:val="20"/>
                <w:szCs w:val="20"/>
                <w:lang w:val="en-US"/>
              </w:rPr>
              <w:t>Note:</w:t>
            </w:r>
            <w:r w:rsidRPr="00114827">
              <w:rPr>
                <w:rFonts w:asciiTheme="minorHAnsi" w:eastAsia="Times New Roman" w:hAnsiTheme="minorHAnsi" w:cstheme="minorHAnsi"/>
                <w:color w:val="000000"/>
                <w:sz w:val="20"/>
                <w:szCs w:val="20"/>
                <w:lang w:val="en-US"/>
              </w:rPr>
              <w:t xml:space="preserve">  There are both individual seg funds sold to retail clients and processed through Fundserv) and group retirement seg funds, which generally are not processed through Fundserv); whether/how T+1 would impact group seg funds is under review</w:t>
            </w:r>
          </w:p>
        </w:tc>
      </w:tr>
      <w:tr w:rsidR="0056173B" w:rsidRPr="00CE792C" w14:paraId="536F5657" w14:textId="77777777" w:rsidTr="0056173B">
        <w:trPr>
          <w:trHeight w:val="80"/>
        </w:trPr>
        <w:tc>
          <w:tcPr>
            <w:tcW w:w="2068" w:type="dxa"/>
          </w:tcPr>
          <w:p w14:paraId="475F0698" w14:textId="2F34EA51" w:rsidR="00B312B8" w:rsidRPr="00DA6EA8" w:rsidRDefault="00B312B8" w:rsidP="007355B4">
            <w:pPr>
              <w:ind w:left="345" w:hanging="360"/>
              <w:rPr>
                <w:sz w:val="20"/>
              </w:rPr>
            </w:pPr>
            <w:r>
              <w:rPr>
                <w:sz w:val="20"/>
                <w:szCs w:val="20"/>
              </w:rPr>
              <w:t>37.</w:t>
            </w:r>
            <w:r>
              <w:rPr>
                <w:sz w:val="20"/>
                <w:szCs w:val="20"/>
              </w:rPr>
              <w:tab/>
            </w:r>
            <w:r w:rsidRPr="00DA6EA8">
              <w:rPr>
                <w:sz w:val="20"/>
              </w:rPr>
              <w:t>Hedge Funds (Private)</w:t>
            </w:r>
          </w:p>
        </w:tc>
        <w:tc>
          <w:tcPr>
            <w:tcW w:w="3692" w:type="dxa"/>
            <w:shd w:val="clear" w:color="auto" w:fill="auto"/>
          </w:tcPr>
          <w:p w14:paraId="238CC013" w14:textId="775199E2" w:rsidR="00B312B8" w:rsidRPr="009B30EE" w:rsidRDefault="00B312B8" w:rsidP="009B30EE">
            <w:pPr>
              <w:rPr>
                <w:sz w:val="20"/>
              </w:rPr>
            </w:pPr>
            <w:r w:rsidRPr="009B30EE">
              <w:rPr>
                <w:sz w:val="20"/>
                <w:szCs w:val="20"/>
              </w:rPr>
              <w:t>A typically aggressively-managed portfolio of investments that uses advanced investment strategies such as leveraged, long, short and derivative positions in both domestic and international markets with the goal of generating high returns (either in an absolute sense or over a specified market benchmark).</w:t>
            </w:r>
          </w:p>
        </w:tc>
        <w:tc>
          <w:tcPr>
            <w:tcW w:w="2430" w:type="dxa"/>
            <w:vAlign w:val="center"/>
          </w:tcPr>
          <w:p w14:paraId="69B15DFC" w14:textId="18A0D9AD" w:rsidR="00B312B8" w:rsidRPr="00DA6EA8" w:rsidRDefault="00B312B8" w:rsidP="007355B4">
            <w:pPr>
              <w:jc w:val="center"/>
              <w:rPr>
                <w:sz w:val="20"/>
              </w:rPr>
            </w:pPr>
            <w:r w:rsidRPr="005E7942">
              <w:rPr>
                <w:sz w:val="20"/>
                <w:szCs w:val="20"/>
              </w:rPr>
              <w:t>Refer prospectus</w:t>
            </w:r>
          </w:p>
        </w:tc>
        <w:tc>
          <w:tcPr>
            <w:tcW w:w="2880" w:type="dxa"/>
            <w:vAlign w:val="center"/>
          </w:tcPr>
          <w:p w14:paraId="546F7885" w14:textId="163CF077" w:rsidR="00B312B8" w:rsidRPr="008A38E7" w:rsidRDefault="00B312B8" w:rsidP="008A38E7">
            <w:pPr>
              <w:rPr>
                <w:sz w:val="20"/>
              </w:rPr>
            </w:pPr>
            <w:r w:rsidRPr="00CE792C">
              <w:rPr>
                <w:sz w:val="20"/>
                <w:szCs w:val="20"/>
              </w:rPr>
              <w:t>In Canada, the issuer of these funds publishes the settlement provisions within the Pros</w:t>
            </w:r>
            <w:r>
              <w:rPr>
                <w:sz w:val="20"/>
                <w:szCs w:val="20"/>
              </w:rPr>
              <w:t>pectus or Offering Memorandum.</w:t>
            </w:r>
          </w:p>
        </w:tc>
      </w:tr>
      <w:tr w:rsidR="009B30EE" w:rsidRPr="001A67CD" w14:paraId="6C499EE4" w14:textId="77777777" w:rsidTr="0056173B">
        <w:trPr>
          <w:trHeight w:val="1655"/>
        </w:trPr>
        <w:tc>
          <w:tcPr>
            <w:tcW w:w="2068" w:type="dxa"/>
            <w:vMerge w:val="restart"/>
          </w:tcPr>
          <w:p w14:paraId="1AB98C59" w14:textId="32C252EB" w:rsidR="009B30EE" w:rsidRPr="00DA6EA8" w:rsidRDefault="009B30EE">
            <w:pPr>
              <w:pStyle w:val="ListParagraph"/>
              <w:numPr>
                <w:ilvl w:val="0"/>
                <w:numId w:val="9"/>
              </w:numPr>
              <w:ind w:left="339"/>
              <w:rPr>
                <w:sz w:val="20"/>
              </w:rPr>
            </w:pPr>
            <w:r w:rsidRPr="00DA6EA8">
              <w:rPr>
                <w:sz w:val="20"/>
              </w:rPr>
              <w:t>Structured</w:t>
            </w:r>
            <w:r w:rsidRPr="00224123">
              <w:rPr>
                <w:sz w:val="20"/>
                <w:szCs w:val="20"/>
              </w:rPr>
              <w:t xml:space="preserve"> </w:t>
            </w:r>
            <w:r w:rsidRPr="00DA6EA8">
              <w:rPr>
                <w:sz w:val="20"/>
              </w:rPr>
              <w:t>Products</w:t>
            </w:r>
          </w:p>
        </w:tc>
        <w:tc>
          <w:tcPr>
            <w:tcW w:w="3692" w:type="dxa"/>
          </w:tcPr>
          <w:p w14:paraId="5B49FCCF" w14:textId="7095EE37" w:rsidR="009B30EE" w:rsidRPr="00DA6EA8" w:rsidRDefault="009B30EE" w:rsidP="00F1676D">
            <w:pPr>
              <w:rPr>
                <w:sz w:val="20"/>
              </w:rPr>
            </w:pPr>
            <w:r w:rsidRPr="009223B5">
              <w:rPr>
                <w:sz w:val="20"/>
                <w:szCs w:val="20"/>
              </w:rPr>
              <w:t>Following the broad definition used by regulators such as the SEC, NASD, and NYSE that define a “structured product” as a security derived from or based on another security (including a bond), basket of securities, index, commodity, or foreign curr</w:t>
            </w:r>
            <w:r>
              <w:rPr>
                <w:sz w:val="20"/>
                <w:szCs w:val="20"/>
              </w:rPr>
              <w:t>ency. Common examples include:</w:t>
            </w:r>
          </w:p>
        </w:tc>
        <w:tc>
          <w:tcPr>
            <w:tcW w:w="2430" w:type="dxa"/>
            <w:vAlign w:val="center"/>
          </w:tcPr>
          <w:p w14:paraId="4074802B" w14:textId="63F3D2AB" w:rsidR="009B30EE" w:rsidRPr="00DA6EA8" w:rsidRDefault="009B30EE" w:rsidP="00F1676D">
            <w:pPr>
              <w:jc w:val="center"/>
              <w:rPr>
                <w:sz w:val="20"/>
              </w:rPr>
            </w:pPr>
            <w:r w:rsidRPr="005E7942">
              <w:rPr>
                <w:sz w:val="20"/>
                <w:szCs w:val="20"/>
              </w:rPr>
              <w:t>Refer prospectus</w:t>
            </w:r>
          </w:p>
        </w:tc>
        <w:tc>
          <w:tcPr>
            <w:tcW w:w="2880" w:type="dxa"/>
            <w:vAlign w:val="center"/>
          </w:tcPr>
          <w:p w14:paraId="5065CBD6" w14:textId="77777777" w:rsidR="009B30EE" w:rsidRPr="008A38E7" w:rsidRDefault="009B30EE" w:rsidP="008A38E7">
            <w:pPr>
              <w:rPr>
                <w:sz w:val="20"/>
              </w:rPr>
            </w:pPr>
            <w:r>
              <w:rPr>
                <w:sz w:val="20"/>
                <w:szCs w:val="20"/>
              </w:rPr>
              <w:t xml:space="preserve">Refer </w:t>
            </w:r>
            <w:r w:rsidRPr="00CE792C">
              <w:rPr>
                <w:sz w:val="20"/>
                <w:szCs w:val="20"/>
              </w:rPr>
              <w:t>settlement provision within the Pro</w:t>
            </w:r>
            <w:r>
              <w:rPr>
                <w:sz w:val="20"/>
                <w:szCs w:val="20"/>
              </w:rPr>
              <w:t>spectus or Offering Memorandum.</w:t>
            </w:r>
          </w:p>
        </w:tc>
      </w:tr>
      <w:tr w:rsidR="009B30EE" w:rsidRPr="001A67CD" w14:paraId="656227F2" w14:textId="77777777" w:rsidTr="009B30EE">
        <w:trPr>
          <w:trHeight w:val="20"/>
        </w:trPr>
        <w:tc>
          <w:tcPr>
            <w:tcW w:w="2068" w:type="dxa"/>
            <w:vMerge/>
          </w:tcPr>
          <w:p w14:paraId="5F617BF9" w14:textId="77777777" w:rsidR="009B30EE" w:rsidRPr="00931CF3" w:rsidRDefault="009B30EE" w:rsidP="009B30EE">
            <w:pPr>
              <w:pStyle w:val="ListParagraph"/>
              <w:numPr>
                <w:ilvl w:val="0"/>
                <w:numId w:val="5"/>
              </w:numPr>
              <w:rPr>
                <w:sz w:val="20"/>
                <w:szCs w:val="20"/>
              </w:rPr>
            </w:pPr>
          </w:p>
        </w:tc>
        <w:tc>
          <w:tcPr>
            <w:tcW w:w="3692" w:type="dxa"/>
          </w:tcPr>
          <w:p w14:paraId="39DDF612" w14:textId="39799070" w:rsidR="009B30EE" w:rsidRPr="009223B5" w:rsidRDefault="009B30EE" w:rsidP="009B30EE">
            <w:pPr>
              <w:pStyle w:val="ListParagraph"/>
              <w:numPr>
                <w:ilvl w:val="0"/>
                <w:numId w:val="3"/>
              </w:numPr>
              <w:rPr>
                <w:sz w:val="20"/>
                <w:szCs w:val="20"/>
              </w:rPr>
            </w:pPr>
            <w:r w:rsidRPr="00DA6EA8">
              <w:rPr>
                <w:sz w:val="20"/>
              </w:rPr>
              <w:t>Exchange-</w:t>
            </w:r>
            <w:r w:rsidRPr="009223B5">
              <w:rPr>
                <w:sz w:val="20"/>
                <w:szCs w:val="20"/>
              </w:rPr>
              <w:t>traded notes</w:t>
            </w:r>
            <w:r w:rsidRPr="00DA6EA8">
              <w:rPr>
                <w:sz w:val="20"/>
              </w:rPr>
              <w:t xml:space="preserve"> (ETNs)</w:t>
            </w:r>
          </w:p>
        </w:tc>
        <w:tc>
          <w:tcPr>
            <w:tcW w:w="2430" w:type="dxa"/>
            <w:vAlign w:val="center"/>
          </w:tcPr>
          <w:p w14:paraId="1335D8A0" w14:textId="26DBE2F2" w:rsidR="009B30EE" w:rsidRPr="005E7942" w:rsidRDefault="009B30EE" w:rsidP="009B30EE">
            <w:pPr>
              <w:jc w:val="center"/>
              <w:rPr>
                <w:sz w:val="20"/>
                <w:szCs w:val="20"/>
              </w:rPr>
            </w:pPr>
            <w:r w:rsidRPr="005E7942">
              <w:rPr>
                <w:sz w:val="20"/>
                <w:szCs w:val="20"/>
              </w:rPr>
              <w:t>Refer prospectus</w:t>
            </w:r>
          </w:p>
        </w:tc>
        <w:tc>
          <w:tcPr>
            <w:tcW w:w="2880" w:type="dxa"/>
          </w:tcPr>
          <w:p w14:paraId="13C41B90" w14:textId="5C9E2D43" w:rsidR="009B30EE" w:rsidRPr="00CE792C" w:rsidRDefault="009B30EE" w:rsidP="009B30EE">
            <w:pPr>
              <w:rPr>
                <w:sz w:val="20"/>
                <w:szCs w:val="20"/>
              </w:rPr>
            </w:pPr>
            <w:r>
              <w:rPr>
                <w:sz w:val="20"/>
                <w:szCs w:val="20"/>
              </w:rPr>
              <w:t xml:space="preserve">Refer </w:t>
            </w:r>
            <w:r w:rsidRPr="00CE792C">
              <w:rPr>
                <w:sz w:val="20"/>
                <w:szCs w:val="20"/>
              </w:rPr>
              <w:t>settlement provision within the Pro</w:t>
            </w:r>
            <w:r>
              <w:rPr>
                <w:sz w:val="20"/>
                <w:szCs w:val="20"/>
              </w:rPr>
              <w:t>spectus or Offering Memorandum.</w:t>
            </w:r>
          </w:p>
        </w:tc>
      </w:tr>
      <w:tr w:rsidR="009B30EE" w:rsidRPr="001A67CD" w14:paraId="4E6ACB8B" w14:textId="77777777" w:rsidTr="009B30EE">
        <w:trPr>
          <w:trHeight w:val="20"/>
        </w:trPr>
        <w:tc>
          <w:tcPr>
            <w:tcW w:w="2068" w:type="dxa"/>
            <w:vMerge/>
          </w:tcPr>
          <w:p w14:paraId="01A35771" w14:textId="77777777" w:rsidR="009B30EE" w:rsidRPr="00F72133" w:rsidRDefault="009B30EE" w:rsidP="009B30EE">
            <w:pPr>
              <w:pStyle w:val="ListParagraph"/>
              <w:numPr>
                <w:ilvl w:val="0"/>
                <w:numId w:val="5"/>
              </w:numPr>
              <w:rPr>
                <w:sz w:val="20"/>
                <w:szCs w:val="20"/>
              </w:rPr>
            </w:pPr>
          </w:p>
        </w:tc>
        <w:tc>
          <w:tcPr>
            <w:tcW w:w="3692" w:type="dxa"/>
          </w:tcPr>
          <w:p w14:paraId="725E4C6F" w14:textId="6CB4E7B7" w:rsidR="009B30EE" w:rsidRPr="009223B5" w:rsidRDefault="009B30EE" w:rsidP="009B30EE">
            <w:pPr>
              <w:pStyle w:val="ListParagraph"/>
              <w:numPr>
                <w:ilvl w:val="0"/>
                <w:numId w:val="3"/>
              </w:numPr>
              <w:rPr>
                <w:sz w:val="20"/>
                <w:szCs w:val="20"/>
              </w:rPr>
            </w:pPr>
            <w:r>
              <w:rPr>
                <w:sz w:val="20"/>
                <w:szCs w:val="20"/>
              </w:rPr>
              <w:t>Exchange-traded commodities (ETCs)</w:t>
            </w:r>
          </w:p>
        </w:tc>
        <w:tc>
          <w:tcPr>
            <w:tcW w:w="2430" w:type="dxa"/>
            <w:vAlign w:val="center"/>
          </w:tcPr>
          <w:p w14:paraId="26A73BFB" w14:textId="3698B29B" w:rsidR="009B30EE" w:rsidRPr="005E7942" w:rsidRDefault="009B30EE" w:rsidP="009B30EE">
            <w:pPr>
              <w:jc w:val="center"/>
              <w:rPr>
                <w:sz w:val="20"/>
                <w:szCs w:val="20"/>
              </w:rPr>
            </w:pPr>
            <w:r w:rsidRPr="005E7942">
              <w:rPr>
                <w:sz w:val="20"/>
                <w:szCs w:val="20"/>
              </w:rPr>
              <w:t>Refer prospectus</w:t>
            </w:r>
          </w:p>
        </w:tc>
        <w:tc>
          <w:tcPr>
            <w:tcW w:w="2880" w:type="dxa"/>
          </w:tcPr>
          <w:p w14:paraId="78B4E2B9" w14:textId="38821457" w:rsidR="009B30EE" w:rsidRPr="00CE792C" w:rsidRDefault="009B30EE" w:rsidP="009B30EE">
            <w:pPr>
              <w:rPr>
                <w:sz w:val="20"/>
                <w:szCs w:val="20"/>
              </w:rPr>
            </w:pPr>
            <w:r>
              <w:rPr>
                <w:sz w:val="20"/>
                <w:szCs w:val="20"/>
              </w:rPr>
              <w:t xml:space="preserve">Refer </w:t>
            </w:r>
            <w:r w:rsidRPr="00CE792C">
              <w:rPr>
                <w:sz w:val="20"/>
                <w:szCs w:val="20"/>
              </w:rPr>
              <w:t>settlement provision within the Pro</w:t>
            </w:r>
            <w:r>
              <w:rPr>
                <w:sz w:val="20"/>
                <w:szCs w:val="20"/>
              </w:rPr>
              <w:t>spectus or Offering Memorandum.</w:t>
            </w:r>
          </w:p>
        </w:tc>
      </w:tr>
      <w:tr w:rsidR="009B30EE" w:rsidRPr="001A67CD" w14:paraId="7BBDDA8D" w14:textId="77777777" w:rsidTr="009B30EE">
        <w:trPr>
          <w:trHeight w:val="20"/>
        </w:trPr>
        <w:tc>
          <w:tcPr>
            <w:tcW w:w="2068" w:type="dxa"/>
            <w:vMerge/>
          </w:tcPr>
          <w:p w14:paraId="720F628B" w14:textId="77777777" w:rsidR="009B30EE" w:rsidRPr="00F72133" w:rsidRDefault="009B30EE" w:rsidP="009B30EE">
            <w:pPr>
              <w:pStyle w:val="ListParagraph"/>
              <w:numPr>
                <w:ilvl w:val="0"/>
                <w:numId w:val="5"/>
              </w:numPr>
              <w:rPr>
                <w:sz w:val="20"/>
                <w:szCs w:val="20"/>
              </w:rPr>
            </w:pPr>
          </w:p>
        </w:tc>
        <w:tc>
          <w:tcPr>
            <w:tcW w:w="3692" w:type="dxa"/>
          </w:tcPr>
          <w:p w14:paraId="53446089" w14:textId="1E2E5150" w:rsidR="009B30EE" w:rsidRPr="009B30EE" w:rsidRDefault="009B30EE" w:rsidP="009B30EE">
            <w:pPr>
              <w:pStyle w:val="ListParagraph"/>
              <w:numPr>
                <w:ilvl w:val="0"/>
                <w:numId w:val="3"/>
              </w:numPr>
              <w:rPr>
                <w:sz w:val="20"/>
                <w:szCs w:val="20"/>
              </w:rPr>
            </w:pPr>
            <w:r w:rsidRPr="00DA6EA8">
              <w:rPr>
                <w:sz w:val="20"/>
              </w:rPr>
              <w:t>Principal</w:t>
            </w:r>
            <w:r>
              <w:rPr>
                <w:sz w:val="20"/>
                <w:szCs w:val="20"/>
              </w:rPr>
              <w:t>-</w:t>
            </w:r>
            <w:r w:rsidRPr="00DA6EA8">
              <w:rPr>
                <w:sz w:val="20"/>
              </w:rPr>
              <w:t>at</w:t>
            </w:r>
            <w:r>
              <w:rPr>
                <w:sz w:val="20"/>
                <w:szCs w:val="20"/>
              </w:rPr>
              <w:t>-</w:t>
            </w:r>
            <w:r w:rsidRPr="009223B5">
              <w:rPr>
                <w:sz w:val="20"/>
                <w:szCs w:val="20"/>
              </w:rPr>
              <w:t>risk notes</w:t>
            </w:r>
            <w:r w:rsidRPr="00DA6EA8">
              <w:rPr>
                <w:sz w:val="20"/>
              </w:rPr>
              <w:t xml:space="preserve"> (PRNs)</w:t>
            </w:r>
          </w:p>
        </w:tc>
        <w:tc>
          <w:tcPr>
            <w:tcW w:w="2430" w:type="dxa"/>
            <w:vAlign w:val="center"/>
          </w:tcPr>
          <w:p w14:paraId="0138534C" w14:textId="725DF20A" w:rsidR="009B30EE" w:rsidRPr="005E7942" w:rsidRDefault="009B30EE" w:rsidP="009B30EE">
            <w:pPr>
              <w:jc w:val="center"/>
              <w:rPr>
                <w:sz w:val="20"/>
                <w:szCs w:val="20"/>
              </w:rPr>
            </w:pPr>
            <w:r w:rsidRPr="005E7942">
              <w:rPr>
                <w:sz w:val="20"/>
                <w:szCs w:val="20"/>
              </w:rPr>
              <w:t>Out of scope</w:t>
            </w:r>
          </w:p>
        </w:tc>
        <w:tc>
          <w:tcPr>
            <w:tcW w:w="2880" w:type="dxa"/>
          </w:tcPr>
          <w:p w14:paraId="68E030D2" w14:textId="4C3682CC" w:rsidR="009B30EE" w:rsidRPr="00CE792C" w:rsidRDefault="009B30EE" w:rsidP="009B30EE">
            <w:pPr>
              <w:rPr>
                <w:sz w:val="20"/>
                <w:szCs w:val="20"/>
              </w:rPr>
            </w:pPr>
            <w:r w:rsidRPr="00703C94">
              <w:rPr>
                <w:sz w:val="20"/>
                <w:szCs w:val="20"/>
              </w:rPr>
              <w:t>Subject to issuer; not cleared through CDS</w:t>
            </w:r>
          </w:p>
        </w:tc>
      </w:tr>
      <w:tr w:rsidR="009B30EE" w:rsidRPr="001A67CD" w14:paraId="53072A51" w14:textId="77777777" w:rsidTr="009B30EE">
        <w:trPr>
          <w:trHeight w:val="20"/>
        </w:trPr>
        <w:tc>
          <w:tcPr>
            <w:tcW w:w="2068" w:type="dxa"/>
            <w:vMerge/>
          </w:tcPr>
          <w:p w14:paraId="54AB56DA" w14:textId="77777777" w:rsidR="009B30EE" w:rsidRPr="009B30EE" w:rsidRDefault="009B30EE" w:rsidP="009B30EE">
            <w:pPr>
              <w:rPr>
                <w:sz w:val="20"/>
                <w:szCs w:val="20"/>
              </w:rPr>
            </w:pPr>
          </w:p>
        </w:tc>
        <w:tc>
          <w:tcPr>
            <w:tcW w:w="3692" w:type="dxa"/>
          </w:tcPr>
          <w:p w14:paraId="4C2FD1A5" w14:textId="6244B6F5" w:rsidR="009B30EE" w:rsidRPr="009223B5" w:rsidRDefault="009B30EE" w:rsidP="009B30EE">
            <w:pPr>
              <w:pStyle w:val="ListParagraph"/>
              <w:numPr>
                <w:ilvl w:val="0"/>
                <w:numId w:val="3"/>
              </w:numPr>
              <w:rPr>
                <w:sz w:val="20"/>
                <w:szCs w:val="20"/>
              </w:rPr>
            </w:pPr>
            <w:r w:rsidRPr="00DA6EA8">
              <w:rPr>
                <w:sz w:val="20"/>
              </w:rPr>
              <w:t>Principal-</w:t>
            </w:r>
            <w:r w:rsidRPr="009223B5">
              <w:rPr>
                <w:sz w:val="20"/>
                <w:szCs w:val="20"/>
              </w:rPr>
              <w:t>protected notes</w:t>
            </w:r>
            <w:r w:rsidRPr="00DA6EA8">
              <w:rPr>
                <w:sz w:val="20"/>
              </w:rPr>
              <w:t xml:space="preserve"> (PPNs</w:t>
            </w:r>
            <w:r w:rsidRPr="009223B5">
              <w:rPr>
                <w:sz w:val="20"/>
                <w:szCs w:val="20"/>
              </w:rPr>
              <w:t>)</w:t>
            </w:r>
          </w:p>
        </w:tc>
        <w:tc>
          <w:tcPr>
            <w:tcW w:w="2430" w:type="dxa"/>
            <w:vAlign w:val="center"/>
          </w:tcPr>
          <w:p w14:paraId="618A88B9" w14:textId="012BAF99" w:rsidR="009B30EE" w:rsidRPr="005E7942" w:rsidRDefault="009B30EE" w:rsidP="009B30EE">
            <w:pPr>
              <w:jc w:val="center"/>
              <w:rPr>
                <w:sz w:val="20"/>
                <w:szCs w:val="20"/>
              </w:rPr>
            </w:pPr>
            <w:r w:rsidRPr="005E7942">
              <w:rPr>
                <w:sz w:val="20"/>
                <w:szCs w:val="20"/>
              </w:rPr>
              <w:t>Out of scope</w:t>
            </w:r>
          </w:p>
        </w:tc>
        <w:tc>
          <w:tcPr>
            <w:tcW w:w="2880" w:type="dxa"/>
          </w:tcPr>
          <w:p w14:paraId="1AABFC9F" w14:textId="03FC24DA" w:rsidR="009B30EE" w:rsidRPr="00204D2C" w:rsidRDefault="009B30EE" w:rsidP="009B30EE">
            <w:pPr>
              <w:rPr>
                <w:sz w:val="20"/>
                <w:szCs w:val="20"/>
              </w:rPr>
            </w:pPr>
            <w:r w:rsidRPr="00204D2C">
              <w:rPr>
                <w:sz w:val="20"/>
                <w:szCs w:val="20"/>
              </w:rPr>
              <w:t>Subject to issuer; not cleared through CDS</w:t>
            </w:r>
          </w:p>
        </w:tc>
      </w:tr>
      <w:tr w:rsidR="009B30EE" w:rsidRPr="001A67CD" w14:paraId="6D68944A" w14:textId="77777777" w:rsidTr="009B30EE">
        <w:trPr>
          <w:trHeight w:val="20"/>
        </w:trPr>
        <w:tc>
          <w:tcPr>
            <w:tcW w:w="2068" w:type="dxa"/>
            <w:vMerge/>
          </w:tcPr>
          <w:p w14:paraId="18880FAA" w14:textId="77777777" w:rsidR="009B30EE" w:rsidRPr="009B30EE" w:rsidRDefault="009B30EE" w:rsidP="009B30EE">
            <w:pPr>
              <w:rPr>
                <w:sz w:val="20"/>
                <w:szCs w:val="20"/>
              </w:rPr>
            </w:pPr>
          </w:p>
        </w:tc>
        <w:tc>
          <w:tcPr>
            <w:tcW w:w="3692" w:type="dxa"/>
          </w:tcPr>
          <w:p w14:paraId="36CDA8ED" w14:textId="7B1E6F5F" w:rsidR="009B30EE" w:rsidRPr="009223B5" w:rsidRDefault="009B30EE" w:rsidP="009B30EE">
            <w:pPr>
              <w:pStyle w:val="ListParagraph"/>
              <w:numPr>
                <w:ilvl w:val="0"/>
                <w:numId w:val="3"/>
              </w:numPr>
              <w:rPr>
                <w:sz w:val="20"/>
                <w:szCs w:val="20"/>
              </w:rPr>
            </w:pPr>
            <w:r>
              <w:rPr>
                <w:sz w:val="20"/>
                <w:szCs w:val="20"/>
              </w:rPr>
              <w:t>Non-principal-protected notes (NPPNs)</w:t>
            </w:r>
          </w:p>
        </w:tc>
        <w:tc>
          <w:tcPr>
            <w:tcW w:w="2430" w:type="dxa"/>
            <w:vAlign w:val="center"/>
          </w:tcPr>
          <w:p w14:paraId="0AD66078" w14:textId="5F2F68B4" w:rsidR="009B30EE" w:rsidRPr="005E7942" w:rsidRDefault="009B30EE" w:rsidP="009B30EE">
            <w:pPr>
              <w:jc w:val="center"/>
              <w:rPr>
                <w:sz w:val="20"/>
                <w:szCs w:val="20"/>
              </w:rPr>
            </w:pPr>
            <w:r w:rsidRPr="005E7942">
              <w:rPr>
                <w:sz w:val="20"/>
                <w:szCs w:val="20"/>
              </w:rPr>
              <w:t>Out of scope</w:t>
            </w:r>
          </w:p>
        </w:tc>
        <w:tc>
          <w:tcPr>
            <w:tcW w:w="2880" w:type="dxa"/>
          </w:tcPr>
          <w:p w14:paraId="5D3FA34C" w14:textId="73586CE9" w:rsidR="009B30EE" w:rsidRPr="00204D2C" w:rsidRDefault="009B30EE" w:rsidP="009B30EE">
            <w:pPr>
              <w:rPr>
                <w:sz w:val="20"/>
                <w:szCs w:val="20"/>
              </w:rPr>
            </w:pPr>
            <w:r w:rsidRPr="00204D2C">
              <w:rPr>
                <w:sz w:val="20"/>
                <w:szCs w:val="20"/>
              </w:rPr>
              <w:t>Subject to issuer; not cleared through CDS</w:t>
            </w:r>
          </w:p>
        </w:tc>
      </w:tr>
    </w:tbl>
    <w:p w14:paraId="3C0AB6BF" w14:textId="73FE5A12" w:rsidR="00D008DB" w:rsidRPr="008A38E7" w:rsidRDefault="00D008DB" w:rsidP="008A38E7">
      <w:pPr>
        <w:spacing w:line="240" w:lineRule="auto"/>
      </w:pPr>
    </w:p>
    <w:p w14:paraId="7FD268B6" w14:textId="5EA48D51" w:rsidR="007E27EB" w:rsidRPr="007E27EB" w:rsidRDefault="007E27EB" w:rsidP="007E27EB">
      <w:pPr>
        <w:spacing w:line="240" w:lineRule="auto"/>
        <w:ind w:left="180"/>
        <w:rPr>
          <w:b/>
          <w:bCs/>
          <w:color w:val="FF0000"/>
          <w:sz w:val="22"/>
        </w:rPr>
      </w:pPr>
      <w:r w:rsidRPr="007E27EB">
        <w:rPr>
          <w:b/>
          <w:bCs/>
          <w:color w:val="FF0000"/>
          <w:sz w:val="22"/>
        </w:rPr>
        <w:t>Note:</w:t>
      </w:r>
      <w:r w:rsidRPr="007E27EB">
        <w:rPr>
          <w:b/>
          <w:bCs/>
          <w:i/>
          <w:iCs/>
          <w:color w:val="FF0000"/>
          <w:sz w:val="22"/>
        </w:rPr>
        <w:t xml:space="preserve">  </w:t>
      </w:r>
      <w:r w:rsidRPr="007E27EB">
        <w:rPr>
          <w:sz w:val="22"/>
        </w:rPr>
        <w:t>The following are essentially the same as 4. Fixed-income funds, 18. Equity funds, and 3</w:t>
      </w:r>
      <w:r w:rsidR="00E67A1F">
        <w:rPr>
          <w:sz w:val="22"/>
        </w:rPr>
        <w:t>1</w:t>
      </w:r>
      <w:r w:rsidRPr="007E27EB">
        <w:rPr>
          <w:sz w:val="22"/>
        </w:rPr>
        <w:t>. Balanced funds above, broken out by regulatory reference.</w:t>
      </w:r>
    </w:p>
    <w:p w14:paraId="3ABBD856" w14:textId="77777777" w:rsidR="007E27EB" w:rsidRPr="007E27EB" w:rsidRDefault="007E27EB" w:rsidP="00D05BAA">
      <w:pPr>
        <w:spacing w:line="240" w:lineRule="auto"/>
        <w:rPr>
          <w:sz w:val="22"/>
        </w:rPr>
      </w:pPr>
    </w:p>
    <w:tbl>
      <w:tblPr>
        <w:tblStyle w:val="TableGrid"/>
        <w:tblpPr w:leftFromText="180" w:rightFromText="180" w:vertAnchor="text" w:horzAnchor="page" w:tblpX="581" w:tblpY="1"/>
        <w:tblOverlap w:val="never"/>
        <w:tblW w:w="11155" w:type="dxa"/>
        <w:tblLayout w:type="fixed"/>
        <w:tblLook w:val="04A0" w:firstRow="1" w:lastRow="0" w:firstColumn="1" w:lastColumn="0" w:noHBand="0" w:noVBand="1"/>
      </w:tblPr>
      <w:tblGrid>
        <w:gridCol w:w="2155"/>
        <w:gridCol w:w="3690"/>
        <w:gridCol w:w="2340"/>
        <w:gridCol w:w="2970"/>
      </w:tblGrid>
      <w:tr w:rsidR="00802360" w:rsidRPr="00D2082C" w14:paraId="5C1A7E32" w14:textId="77777777" w:rsidTr="00802360">
        <w:trPr>
          <w:tblHeader/>
        </w:trPr>
        <w:tc>
          <w:tcPr>
            <w:tcW w:w="2155" w:type="dxa"/>
          </w:tcPr>
          <w:p w14:paraId="02118014" w14:textId="77777777" w:rsidR="00D008DB" w:rsidRPr="008A38E7" w:rsidRDefault="00D008DB" w:rsidP="00802360">
            <w:pPr>
              <w:pStyle w:val="Default"/>
              <w:jc w:val="center"/>
              <w:rPr>
                <w:sz w:val="22"/>
              </w:rPr>
            </w:pPr>
            <w:r w:rsidRPr="008A38E7">
              <w:rPr>
                <w:b/>
                <w:sz w:val="22"/>
              </w:rPr>
              <w:t>Security Type</w:t>
            </w:r>
          </w:p>
        </w:tc>
        <w:tc>
          <w:tcPr>
            <w:tcW w:w="3690" w:type="dxa"/>
          </w:tcPr>
          <w:p w14:paraId="746B25B3" w14:textId="77777777" w:rsidR="00D008DB" w:rsidRPr="008A38E7" w:rsidRDefault="00D008DB" w:rsidP="00802360">
            <w:pPr>
              <w:pStyle w:val="Default"/>
              <w:keepNext/>
              <w:keepLines/>
              <w:jc w:val="center"/>
              <w:rPr>
                <w:sz w:val="22"/>
              </w:rPr>
            </w:pPr>
            <w:r w:rsidRPr="008A38E7">
              <w:rPr>
                <w:b/>
                <w:sz w:val="22"/>
              </w:rPr>
              <w:t>Description</w:t>
            </w:r>
          </w:p>
        </w:tc>
        <w:tc>
          <w:tcPr>
            <w:tcW w:w="2340" w:type="dxa"/>
          </w:tcPr>
          <w:p w14:paraId="4D924B33" w14:textId="5195F6ED" w:rsidR="00D008DB" w:rsidRPr="008A38E7" w:rsidRDefault="003D438B" w:rsidP="00802360">
            <w:pPr>
              <w:pStyle w:val="Default"/>
              <w:jc w:val="center"/>
              <w:rPr>
                <w:sz w:val="22"/>
              </w:rPr>
            </w:pPr>
            <w:r>
              <w:rPr>
                <w:b/>
                <w:sz w:val="20"/>
                <w:szCs w:val="20"/>
              </w:rPr>
              <w:t>Shorten to T+1?</w:t>
            </w:r>
            <w:r w:rsidDel="009258DA">
              <w:rPr>
                <w:b/>
                <w:sz w:val="20"/>
                <w:szCs w:val="20"/>
              </w:rPr>
              <w:t xml:space="preserve"> </w:t>
            </w:r>
            <w:r>
              <w:rPr>
                <w:b/>
                <w:sz w:val="20"/>
                <w:szCs w:val="20"/>
              </w:rPr>
              <w:t>Yes/No</w:t>
            </w:r>
          </w:p>
        </w:tc>
        <w:tc>
          <w:tcPr>
            <w:tcW w:w="2970" w:type="dxa"/>
          </w:tcPr>
          <w:p w14:paraId="005BC829" w14:textId="77777777" w:rsidR="00D008DB" w:rsidRPr="008A38E7" w:rsidRDefault="00D008DB" w:rsidP="00802360">
            <w:pPr>
              <w:pStyle w:val="Default"/>
              <w:jc w:val="center"/>
              <w:rPr>
                <w:sz w:val="22"/>
              </w:rPr>
            </w:pPr>
            <w:r w:rsidRPr="008A38E7">
              <w:rPr>
                <w:b/>
                <w:sz w:val="22"/>
              </w:rPr>
              <w:t>Comments</w:t>
            </w:r>
          </w:p>
        </w:tc>
      </w:tr>
      <w:tr w:rsidR="00802360" w:rsidRPr="00D2082C" w14:paraId="5B508A05" w14:textId="77777777" w:rsidTr="00802360">
        <w:tc>
          <w:tcPr>
            <w:tcW w:w="11155" w:type="dxa"/>
            <w:gridSpan w:val="4"/>
          </w:tcPr>
          <w:p w14:paraId="7F6831EF" w14:textId="0419FCA8" w:rsidR="007E27EB" w:rsidRPr="00DA6EA8" w:rsidRDefault="00D008DB" w:rsidP="00802360">
            <w:pPr>
              <w:keepNext/>
              <w:keepLines/>
              <w:jc w:val="center"/>
              <w:rPr>
                <w:b/>
                <w:color w:val="FF0000"/>
              </w:rPr>
            </w:pPr>
            <w:r w:rsidRPr="00DA6EA8">
              <w:rPr>
                <w:b/>
                <w:color w:val="FF0000"/>
              </w:rPr>
              <w:t>Investment Funds subject to NI 81-102 settlement provisions</w:t>
            </w:r>
          </w:p>
        </w:tc>
      </w:tr>
      <w:tr w:rsidR="00802360" w:rsidRPr="00F6308E" w14:paraId="6616BDB0" w14:textId="77777777" w:rsidTr="00802360">
        <w:tc>
          <w:tcPr>
            <w:tcW w:w="2155" w:type="dxa"/>
          </w:tcPr>
          <w:p w14:paraId="3BCBC6BF" w14:textId="253B2391" w:rsidR="00D008DB" w:rsidRPr="00DA6EA8" w:rsidRDefault="00D008DB" w:rsidP="00802360">
            <w:pPr>
              <w:ind w:left="248" w:hanging="248"/>
              <w:rPr>
                <w:sz w:val="20"/>
              </w:rPr>
            </w:pPr>
            <w:r w:rsidRPr="00DA6EA8">
              <w:rPr>
                <w:sz w:val="20"/>
              </w:rPr>
              <w:t>Money market funds</w:t>
            </w:r>
          </w:p>
        </w:tc>
        <w:tc>
          <w:tcPr>
            <w:tcW w:w="3690" w:type="dxa"/>
          </w:tcPr>
          <w:p w14:paraId="13945A91" w14:textId="1430FAB7" w:rsidR="002714E3" w:rsidRPr="00DA6EA8" w:rsidRDefault="002714E3" w:rsidP="00802360">
            <w:pPr>
              <w:pStyle w:val="Default"/>
              <w:keepNext/>
              <w:keepLines/>
              <w:rPr>
                <w:sz w:val="20"/>
              </w:rPr>
            </w:pPr>
            <w:r w:rsidRPr="001A67CD">
              <w:rPr>
                <w:sz w:val="20"/>
                <w:szCs w:val="20"/>
              </w:rPr>
              <w:t>Includes money market exchange-traded funds (ETFs) and money market closed-end funds</w:t>
            </w:r>
            <w:r w:rsidRPr="00F6308E">
              <w:rPr>
                <w:rStyle w:val="acpxkynzsg"/>
                <w:sz w:val="20"/>
                <w:szCs w:val="20"/>
              </w:rPr>
              <w:t xml:space="preserve"> </w:t>
            </w:r>
            <w:r>
              <w:rPr>
                <w:rStyle w:val="acpxkynzsg"/>
                <w:sz w:val="20"/>
                <w:szCs w:val="20"/>
              </w:rPr>
              <w:t>c</w:t>
            </w:r>
            <w:r w:rsidR="00D008DB" w:rsidRPr="00F6308E">
              <w:rPr>
                <w:rStyle w:val="acpxkynzsg"/>
                <w:sz w:val="20"/>
                <w:szCs w:val="20"/>
              </w:rPr>
              <w:t>omprised</w:t>
            </w:r>
            <w:r w:rsidR="00D008DB" w:rsidRPr="008A38E7">
              <w:rPr>
                <w:rStyle w:val="acpxkynzsg"/>
                <w:sz w:val="20"/>
              </w:rPr>
              <w:t xml:space="preserve"> of short-term, or less-than-one-year-term-remaining securities</w:t>
            </w:r>
            <w:r>
              <w:rPr>
                <w:rStyle w:val="acpxkynzsg"/>
                <w:sz w:val="20"/>
                <w:szCs w:val="20"/>
              </w:rPr>
              <w:t>.</w:t>
            </w:r>
          </w:p>
        </w:tc>
        <w:tc>
          <w:tcPr>
            <w:tcW w:w="2340" w:type="dxa"/>
            <w:vAlign w:val="center"/>
          </w:tcPr>
          <w:p w14:paraId="3D632399" w14:textId="360EED63" w:rsidR="00D008DB" w:rsidRPr="008A38E7" w:rsidRDefault="00D008DB" w:rsidP="00802360">
            <w:pPr>
              <w:jc w:val="center"/>
              <w:rPr>
                <w:sz w:val="20"/>
              </w:rPr>
            </w:pPr>
            <w:r w:rsidRPr="00D711A6">
              <w:rPr>
                <w:bCs/>
                <w:sz w:val="20"/>
                <w:szCs w:val="20"/>
              </w:rPr>
              <w:t>No</w:t>
            </w:r>
          </w:p>
        </w:tc>
        <w:tc>
          <w:tcPr>
            <w:tcW w:w="2970" w:type="dxa"/>
          </w:tcPr>
          <w:p w14:paraId="48259D77" w14:textId="75B5BD90" w:rsidR="00D008DB" w:rsidRPr="00DA6EA8" w:rsidRDefault="00E67A1F" w:rsidP="00802360">
            <w:pPr>
              <w:pStyle w:val="Default"/>
              <w:rPr>
                <w:sz w:val="20"/>
              </w:rPr>
            </w:pPr>
            <w:r>
              <w:rPr>
                <w:bCs/>
                <w:sz w:val="20"/>
                <w:szCs w:val="20"/>
              </w:rPr>
              <w:t>A</w:t>
            </w:r>
            <w:r w:rsidRPr="00D711A6">
              <w:rPr>
                <w:bCs/>
                <w:sz w:val="20"/>
                <w:szCs w:val="20"/>
              </w:rPr>
              <w:t>lready at T+1</w:t>
            </w:r>
            <w:r>
              <w:rPr>
                <w:bCs/>
                <w:sz w:val="20"/>
                <w:szCs w:val="20"/>
              </w:rPr>
              <w:t xml:space="preserve">; </w:t>
            </w:r>
            <w:r>
              <w:rPr>
                <w:sz w:val="20"/>
                <w:szCs w:val="20"/>
              </w:rPr>
              <w:t>s</w:t>
            </w:r>
            <w:r w:rsidR="00D008DB" w:rsidRPr="00F6308E">
              <w:rPr>
                <w:sz w:val="20"/>
                <w:szCs w:val="20"/>
              </w:rPr>
              <w:t>ettlement</w:t>
            </w:r>
            <w:r w:rsidR="00D008DB" w:rsidRPr="00DA6EA8">
              <w:rPr>
                <w:sz w:val="20"/>
              </w:rPr>
              <w:t xml:space="preserve"> cycle applicable to sales and redemptions.</w:t>
            </w:r>
          </w:p>
        </w:tc>
      </w:tr>
      <w:tr w:rsidR="00802360" w:rsidRPr="00F6308E" w14:paraId="2207ED97" w14:textId="77777777" w:rsidTr="00802360">
        <w:tc>
          <w:tcPr>
            <w:tcW w:w="2155" w:type="dxa"/>
          </w:tcPr>
          <w:p w14:paraId="1177F284" w14:textId="6C01C7C0" w:rsidR="007E27EB" w:rsidRPr="00F1676D" w:rsidRDefault="007E27EB" w:rsidP="00802360">
            <w:pPr>
              <w:ind w:left="-22"/>
              <w:rPr>
                <w:sz w:val="20"/>
                <w:szCs w:val="20"/>
              </w:rPr>
            </w:pPr>
            <w:r w:rsidRPr="00DA6EA8">
              <w:rPr>
                <w:sz w:val="20"/>
              </w:rPr>
              <w:t>Mutual funds</w:t>
            </w:r>
          </w:p>
        </w:tc>
        <w:tc>
          <w:tcPr>
            <w:tcW w:w="3690" w:type="dxa"/>
          </w:tcPr>
          <w:p w14:paraId="419F62CE" w14:textId="77777777" w:rsidR="007E27EB" w:rsidRPr="008A38E7" w:rsidRDefault="007E27EB" w:rsidP="00802360">
            <w:pPr>
              <w:pStyle w:val="Default"/>
              <w:rPr>
                <w:sz w:val="20"/>
              </w:rPr>
            </w:pPr>
            <w:r w:rsidRPr="008A38E7">
              <w:rPr>
                <w:sz w:val="20"/>
              </w:rPr>
              <w:t>If prospectus-based and also a reporting issuer</w:t>
            </w:r>
          </w:p>
        </w:tc>
        <w:tc>
          <w:tcPr>
            <w:tcW w:w="2340" w:type="dxa"/>
            <w:vAlign w:val="center"/>
          </w:tcPr>
          <w:p w14:paraId="1A9E6329" w14:textId="313F4105" w:rsidR="007E27EB" w:rsidRPr="008A38E7" w:rsidRDefault="0019706A" w:rsidP="00802360">
            <w:pPr>
              <w:jc w:val="center"/>
              <w:rPr>
                <w:b/>
                <w:sz w:val="20"/>
              </w:rPr>
            </w:pPr>
            <w:r>
              <w:rPr>
                <w:b/>
                <w:bCs/>
                <w:sz w:val="20"/>
                <w:szCs w:val="20"/>
                <w:highlight w:val="yellow"/>
              </w:rPr>
              <w:t xml:space="preserve">Under review by </w:t>
            </w:r>
            <w:r w:rsidR="00D36807">
              <w:rPr>
                <w:b/>
                <w:bCs/>
                <w:sz w:val="20"/>
                <w:szCs w:val="20"/>
                <w:highlight w:val="yellow"/>
              </w:rPr>
              <w:t>the mutual funds industry</w:t>
            </w:r>
          </w:p>
        </w:tc>
        <w:tc>
          <w:tcPr>
            <w:tcW w:w="2970" w:type="dxa"/>
          </w:tcPr>
          <w:p w14:paraId="73C32FA6" w14:textId="27B157F7" w:rsidR="007E27EB" w:rsidRPr="00DA6EA8" w:rsidRDefault="007E27EB" w:rsidP="00802360">
            <w:pPr>
              <w:pStyle w:val="Default"/>
              <w:rPr>
                <w:sz w:val="20"/>
              </w:rPr>
            </w:pPr>
            <w:r w:rsidRPr="00DA6EA8">
              <w:rPr>
                <w:sz w:val="20"/>
              </w:rPr>
              <w:t>Settlement cycle applicable to sales and redemptions.</w:t>
            </w:r>
          </w:p>
        </w:tc>
      </w:tr>
      <w:tr w:rsidR="00802360" w:rsidRPr="00F6308E" w14:paraId="139623D1" w14:textId="77777777" w:rsidTr="00802360">
        <w:tc>
          <w:tcPr>
            <w:tcW w:w="2155" w:type="dxa"/>
          </w:tcPr>
          <w:p w14:paraId="25327E1E" w14:textId="62AE1935" w:rsidR="00E67A1F" w:rsidRPr="00DA6EA8" w:rsidRDefault="00E67A1F" w:rsidP="00802360">
            <w:pPr>
              <w:ind w:left="-22"/>
              <w:rPr>
                <w:sz w:val="20"/>
              </w:rPr>
            </w:pPr>
            <w:r w:rsidRPr="00DA6EA8">
              <w:rPr>
                <w:sz w:val="20"/>
              </w:rPr>
              <w:t xml:space="preserve">Non-redeemable investment </w:t>
            </w:r>
            <w:r w:rsidRPr="00F6308E">
              <w:rPr>
                <w:sz w:val="20"/>
                <w:szCs w:val="20"/>
              </w:rPr>
              <w:t>fund</w:t>
            </w:r>
            <w:r>
              <w:rPr>
                <w:sz w:val="20"/>
                <w:szCs w:val="20"/>
              </w:rPr>
              <w:t>s</w:t>
            </w:r>
          </w:p>
        </w:tc>
        <w:tc>
          <w:tcPr>
            <w:tcW w:w="3690" w:type="dxa"/>
          </w:tcPr>
          <w:p w14:paraId="1D1D0A96" w14:textId="77777777" w:rsidR="00E67A1F" w:rsidRPr="00DA6EA8" w:rsidRDefault="00E67A1F" w:rsidP="00802360">
            <w:pPr>
              <w:pStyle w:val="Default"/>
              <w:rPr>
                <w:sz w:val="20"/>
              </w:rPr>
            </w:pPr>
            <w:r w:rsidRPr="00DA6EA8">
              <w:rPr>
                <w:sz w:val="20"/>
              </w:rPr>
              <w:t>If a reporting issuer (e.g., closed-end funds)</w:t>
            </w:r>
          </w:p>
        </w:tc>
        <w:tc>
          <w:tcPr>
            <w:tcW w:w="2340" w:type="dxa"/>
            <w:vAlign w:val="center"/>
          </w:tcPr>
          <w:p w14:paraId="7E2BCD1E" w14:textId="4C09EF87" w:rsidR="00E67A1F" w:rsidRPr="008A38E7" w:rsidRDefault="0019706A" w:rsidP="00802360">
            <w:pPr>
              <w:jc w:val="center"/>
              <w:rPr>
                <w:b/>
                <w:sz w:val="20"/>
                <w:lang w:val="en-US"/>
              </w:rPr>
            </w:pPr>
            <w:r>
              <w:rPr>
                <w:b/>
                <w:bCs/>
                <w:sz w:val="20"/>
                <w:szCs w:val="20"/>
                <w:highlight w:val="yellow"/>
              </w:rPr>
              <w:t xml:space="preserve">Under review by </w:t>
            </w:r>
            <w:r w:rsidR="00D36807">
              <w:rPr>
                <w:b/>
                <w:bCs/>
                <w:sz w:val="20"/>
                <w:szCs w:val="20"/>
                <w:highlight w:val="yellow"/>
              </w:rPr>
              <w:t>the mutual funds industry</w:t>
            </w:r>
          </w:p>
        </w:tc>
        <w:tc>
          <w:tcPr>
            <w:tcW w:w="2970" w:type="dxa"/>
          </w:tcPr>
          <w:p w14:paraId="625936BF" w14:textId="59886EFA" w:rsidR="00E67A1F" w:rsidRPr="00DA6EA8" w:rsidRDefault="00E67A1F" w:rsidP="00802360">
            <w:pPr>
              <w:pStyle w:val="Default"/>
              <w:rPr>
                <w:sz w:val="20"/>
              </w:rPr>
            </w:pPr>
            <w:r w:rsidRPr="00DA6EA8">
              <w:rPr>
                <w:sz w:val="20"/>
              </w:rPr>
              <w:t>Settlement cycle applicable to sales and redemptions.</w:t>
            </w:r>
          </w:p>
        </w:tc>
      </w:tr>
      <w:tr w:rsidR="008A38E7" w:rsidRPr="00F6308E" w14:paraId="42586E48" w14:textId="77777777" w:rsidTr="00802360">
        <w:tc>
          <w:tcPr>
            <w:tcW w:w="2155" w:type="dxa"/>
          </w:tcPr>
          <w:p w14:paraId="01E8C805" w14:textId="0B8F7B06" w:rsidR="007E27EB" w:rsidRPr="00EC7057" w:rsidRDefault="007E27EB" w:rsidP="00802360">
            <w:pPr>
              <w:ind w:left="-22"/>
              <w:rPr>
                <w:sz w:val="20"/>
                <w:szCs w:val="20"/>
              </w:rPr>
            </w:pPr>
            <w:r w:rsidRPr="00DA6EA8">
              <w:rPr>
                <w:sz w:val="20"/>
              </w:rPr>
              <w:t>Non-conventional investment funds that permit redemptions for a proportionate interest of the fund’s net assets more than once a year</w:t>
            </w:r>
          </w:p>
        </w:tc>
        <w:tc>
          <w:tcPr>
            <w:tcW w:w="3690" w:type="dxa"/>
          </w:tcPr>
          <w:p w14:paraId="5A4E190B" w14:textId="77777777" w:rsidR="007E27EB" w:rsidRPr="00DA6EA8" w:rsidRDefault="007E27EB" w:rsidP="00802360">
            <w:pPr>
              <w:pStyle w:val="Default"/>
              <w:rPr>
                <w:sz w:val="20"/>
              </w:rPr>
            </w:pPr>
            <w:r w:rsidRPr="00DA6EA8">
              <w:rPr>
                <w:sz w:val="20"/>
              </w:rPr>
              <w:t>Considered to be a mutual fund whether or not listed on an exchange.</w:t>
            </w:r>
            <w:r w:rsidRPr="00F6308E">
              <w:rPr>
                <w:sz w:val="20"/>
                <w:szCs w:val="20"/>
              </w:rPr>
              <w:t xml:space="preserve"> </w:t>
            </w:r>
            <w:r w:rsidRPr="00DA6EA8">
              <w:rPr>
                <w:sz w:val="20"/>
              </w:rPr>
              <w:t xml:space="preserve"> Same operational requirements as conventional funds. Includes exchange-traded funds (ETFs) that distribute their securities using designated brokers, track an index and distribute their securities continuously. Some split-share companies also fall into this category.</w:t>
            </w:r>
          </w:p>
        </w:tc>
        <w:tc>
          <w:tcPr>
            <w:tcW w:w="2340" w:type="dxa"/>
            <w:vAlign w:val="center"/>
          </w:tcPr>
          <w:p w14:paraId="0123A1CE" w14:textId="51FB384E" w:rsidR="007E27EB" w:rsidRPr="008A38E7" w:rsidRDefault="00D36807" w:rsidP="00802360">
            <w:pPr>
              <w:jc w:val="center"/>
              <w:rPr>
                <w:b/>
                <w:sz w:val="20"/>
              </w:rPr>
            </w:pPr>
            <w:r>
              <w:rPr>
                <w:b/>
                <w:sz w:val="20"/>
                <w:szCs w:val="20"/>
              </w:rPr>
              <w:t xml:space="preserve">YES for ETFs; </w:t>
            </w:r>
            <w:r>
              <w:rPr>
                <w:b/>
                <w:bCs/>
                <w:sz w:val="20"/>
                <w:szCs w:val="20"/>
                <w:highlight w:val="yellow"/>
              </w:rPr>
              <w:t xml:space="preserve">others </w:t>
            </w:r>
            <w:r w:rsidR="00F31A9A">
              <w:rPr>
                <w:b/>
                <w:bCs/>
                <w:sz w:val="20"/>
                <w:szCs w:val="20"/>
                <w:highlight w:val="yellow"/>
              </w:rPr>
              <w:t>u</w:t>
            </w:r>
            <w:r w:rsidR="0019706A">
              <w:rPr>
                <w:b/>
                <w:bCs/>
                <w:sz w:val="20"/>
                <w:szCs w:val="20"/>
                <w:highlight w:val="yellow"/>
              </w:rPr>
              <w:t xml:space="preserve">nder review by </w:t>
            </w:r>
            <w:r>
              <w:rPr>
                <w:b/>
                <w:bCs/>
                <w:sz w:val="20"/>
                <w:szCs w:val="20"/>
                <w:highlight w:val="yellow"/>
              </w:rPr>
              <w:t>the mutual funds industry</w:t>
            </w:r>
            <w:r w:rsidDel="00D36807">
              <w:rPr>
                <w:b/>
                <w:bCs/>
                <w:sz w:val="20"/>
                <w:szCs w:val="20"/>
                <w:highlight w:val="yellow"/>
              </w:rPr>
              <w:t xml:space="preserve"> </w:t>
            </w:r>
            <w:r w:rsidR="0019706A">
              <w:rPr>
                <w:b/>
                <w:bCs/>
                <w:sz w:val="20"/>
                <w:szCs w:val="20"/>
              </w:rPr>
              <w:t xml:space="preserve"> </w:t>
            </w:r>
          </w:p>
        </w:tc>
        <w:tc>
          <w:tcPr>
            <w:tcW w:w="2970" w:type="dxa"/>
            <w:shd w:val="clear" w:color="auto" w:fill="auto"/>
          </w:tcPr>
          <w:p w14:paraId="4F03080B" w14:textId="2DABE1F4" w:rsidR="007E27EB" w:rsidRPr="00DA6EA8" w:rsidRDefault="00E67A1F" w:rsidP="00802360">
            <w:pPr>
              <w:pStyle w:val="Default"/>
              <w:rPr>
                <w:sz w:val="20"/>
              </w:rPr>
            </w:pPr>
            <w:r w:rsidRPr="00E67A1F">
              <w:rPr>
                <w:b/>
                <w:bCs/>
                <w:sz w:val="20"/>
                <w:szCs w:val="20"/>
              </w:rPr>
              <w:t>Note:</w:t>
            </w:r>
            <w:r w:rsidRPr="00E67A1F">
              <w:rPr>
                <w:sz w:val="20"/>
                <w:szCs w:val="20"/>
              </w:rPr>
              <w:t xml:space="preserve">  The </w:t>
            </w:r>
            <w:r w:rsidR="007E27EB" w:rsidRPr="00E67A1F">
              <w:rPr>
                <w:sz w:val="20"/>
                <w:szCs w:val="20"/>
              </w:rPr>
              <w:t xml:space="preserve">ETF unit </w:t>
            </w:r>
            <w:r w:rsidR="00842607">
              <w:rPr>
                <w:sz w:val="20"/>
                <w:szCs w:val="20"/>
              </w:rPr>
              <w:t>creation</w:t>
            </w:r>
            <w:r w:rsidR="007E27EB" w:rsidRPr="00E67A1F">
              <w:rPr>
                <w:sz w:val="20"/>
                <w:szCs w:val="20"/>
              </w:rPr>
              <w:t xml:space="preserve">/redemption process </w:t>
            </w:r>
            <w:r w:rsidRPr="00E67A1F">
              <w:rPr>
                <w:sz w:val="20"/>
                <w:szCs w:val="20"/>
              </w:rPr>
              <w:t xml:space="preserve">is </w:t>
            </w:r>
            <w:r w:rsidR="007E27EB" w:rsidRPr="00E67A1F">
              <w:rPr>
                <w:sz w:val="20"/>
                <w:szCs w:val="20"/>
              </w:rPr>
              <w:t>being reviewed</w:t>
            </w:r>
            <w:r w:rsidR="00842607">
              <w:rPr>
                <w:sz w:val="20"/>
                <w:szCs w:val="20"/>
              </w:rPr>
              <w:t xml:space="preserve"> by the Canadian ETF Association (CETFA)</w:t>
            </w:r>
            <w:r w:rsidR="007E27EB" w:rsidRPr="00E67A1F">
              <w:rPr>
                <w:sz w:val="20"/>
                <w:szCs w:val="20"/>
              </w:rPr>
              <w:t>.</w:t>
            </w:r>
          </w:p>
        </w:tc>
      </w:tr>
      <w:tr w:rsidR="00802360" w:rsidRPr="00F6308E" w14:paraId="67646F88" w14:textId="77777777" w:rsidTr="00802360">
        <w:tc>
          <w:tcPr>
            <w:tcW w:w="2155" w:type="dxa"/>
          </w:tcPr>
          <w:p w14:paraId="558B8EC1" w14:textId="4F61CE8A" w:rsidR="007E27EB" w:rsidRPr="00DA6EA8" w:rsidRDefault="007E27EB" w:rsidP="00802360">
            <w:pPr>
              <w:ind w:left="-22"/>
              <w:rPr>
                <w:sz w:val="20"/>
              </w:rPr>
            </w:pPr>
            <w:r w:rsidRPr="00DA6EA8">
              <w:rPr>
                <w:sz w:val="20"/>
              </w:rPr>
              <w:t xml:space="preserve">Non-conventional investment funds that do </w:t>
            </w:r>
            <w:r w:rsidRPr="00DA6EA8">
              <w:rPr>
                <w:b/>
                <w:sz w:val="20"/>
              </w:rPr>
              <w:t>not</w:t>
            </w:r>
            <w:r w:rsidRPr="008A38E7">
              <w:rPr>
                <w:sz w:val="20"/>
              </w:rPr>
              <w:t xml:space="preserve"> </w:t>
            </w:r>
            <w:r w:rsidRPr="00DA6EA8">
              <w:rPr>
                <w:sz w:val="20"/>
              </w:rPr>
              <w:t>permit redemptions for a proportionate interest of the fund’s net assets more than once a year</w:t>
            </w:r>
          </w:p>
        </w:tc>
        <w:tc>
          <w:tcPr>
            <w:tcW w:w="3690" w:type="dxa"/>
          </w:tcPr>
          <w:p w14:paraId="65F070B5" w14:textId="10C5D2ED" w:rsidR="00224123" w:rsidRPr="008A38E7" w:rsidRDefault="007E27EB" w:rsidP="00802360">
            <w:pPr>
              <w:pStyle w:val="Default"/>
              <w:rPr>
                <w:sz w:val="20"/>
              </w:rPr>
            </w:pPr>
            <w:r w:rsidRPr="008A38E7">
              <w:rPr>
                <w:sz w:val="20"/>
              </w:rPr>
              <w:t>Subject to the core operational requirements of NI 81-102.</w:t>
            </w:r>
            <w:r w:rsidRPr="00F6308E">
              <w:rPr>
                <w:sz w:val="20"/>
                <w:szCs w:val="20"/>
              </w:rPr>
              <w:t xml:space="preserve"> </w:t>
            </w:r>
            <w:r w:rsidRPr="008A38E7">
              <w:rPr>
                <w:sz w:val="20"/>
              </w:rPr>
              <w:t xml:space="preserve"> Permitted to engage in certain investment strategies, and invest in certain asset classes, beyond what is allowed for conventional mutual funds.</w:t>
            </w:r>
            <w:r w:rsidRPr="00F6308E">
              <w:rPr>
                <w:sz w:val="20"/>
                <w:szCs w:val="20"/>
              </w:rPr>
              <w:t> </w:t>
            </w:r>
            <w:r w:rsidRPr="008A38E7">
              <w:rPr>
                <w:sz w:val="20"/>
              </w:rPr>
              <w:t xml:space="preserve"> Includes closed-end funds (usually listed on an exchange) and flow-through limited partnerships.</w:t>
            </w:r>
          </w:p>
        </w:tc>
        <w:tc>
          <w:tcPr>
            <w:tcW w:w="2340" w:type="dxa"/>
            <w:vAlign w:val="center"/>
          </w:tcPr>
          <w:p w14:paraId="5420AD7D" w14:textId="6D841D88" w:rsidR="007E27EB" w:rsidRPr="008A38E7" w:rsidRDefault="00D36807" w:rsidP="00802360">
            <w:pPr>
              <w:jc w:val="center"/>
              <w:rPr>
                <w:b/>
                <w:sz w:val="20"/>
              </w:rPr>
            </w:pPr>
            <w:r>
              <w:rPr>
                <w:b/>
                <w:sz w:val="20"/>
                <w:szCs w:val="20"/>
              </w:rPr>
              <w:t>YES for ETFs</w:t>
            </w:r>
            <w:r w:rsidRPr="008A38E7">
              <w:rPr>
                <w:b/>
                <w:sz w:val="20"/>
              </w:rPr>
              <w:t xml:space="preserve"> and closed-end funds</w:t>
            </w:r>
            <w:r>
              <w:rPr>
                <w:b/>
                <w:sz w:val="20"/>
                <w:szCs w:val="20"/>
              </w:rPr>
              <w:t xml:space="preserve">; </w:t>
            </w:r>
            <w:r>
              <w:rPr>
                <w:b/>
                <w:bCs/>
                <w:sz w:val="20"/>
                <w:szCs w:val="20"/>
                <w:highlight w:val="yellow"/>
              </w:rPr>
              <w:t>others u</w:t>
            </w:r>
            <w:r w:rsidR="0019706A">
              <w:rPr>
                <w:b/>
                <w:bCs/>
                <w:sz w:val="20"/>
                <w:szCs w:val="20"/>
                <w:highlight w:val="yellow"/>
              </w:rPr>
              <w:t xml:space="preserve">nder review by </w:t>
            </w:r>
            <w:r>
              <w:rPr>
                <w:b/>
                <w:bCs/>
                <w:sz w:val="20"/>
                <w:szCs w:val="20"/>
                <w:highlight w:val="yellow"/>
              </w:rPr>
              <w:t>the mutual funds industry</w:t>
            </w:r>
            <w:r w:rsidDel="00D36807">
              <w:rPr>
                <w:b/>
                <w:bCs/>
                <w:sz w:val="20"/>
                <w:szCs w:val="20"/>
                <w:highlight w:val="yellow"/>
              </w:rPr>
              <w:t xml:space="preserve"> </w:t>
            </w:r>
          </w:p>
        </w:tc>
        <w:tc>
          <w:tcPr>
            <w:tcW w:w="2970" w:type="dxa"/>
          </w:tcPr>
          <w:p w14:paraId="04AC772B" w14:textId="006DDDE0" w:rsidR="007E27EB" w:rsidRPr="00DA6EA8" w:rsidRDefault="00842607" w:rsidP="00802360">
            <w:pPr>
              <w:pStyle w:val="Default"/>
              <w:rPr>
                <w:sz w:val="20"/>
              </w:rPr>
            </w:pPr>
            <w:r w:rsidRPr="00E67A1F">
              <w:rPr>
                <w:b/>
                <w:bCs/>
                <w:sz w:val="20"/>
                <w:szCs w:val="20"/>
              </w:rPr>
              <w:t xml:space="preserve"> </w:t>
            </w:r>
          </w:p>
        </w:tc>
      </w:tr>
      <w:tr w:rsidR="00802360" w:rsidRPr="00F6308E" w14:paraId="0AE6AAFC" w14:textId="77777777" w:rsidTr="00802360">
        <w:tc>
          <w:tcPr>
            <w:tcW w:w="11155" w:type="dxa"/>
            <w:gridSpan w:val="4"/>
          </w:tcPr>
          <w:p w14:paraId="1317961E" w14:textId="77777777" w:rsidR="007E27EB" w:rsidRPr="00DA6EA8" w:rsidRDefault="007E27EB" w:rsidP="00802360">
            <w:pPr>
              <w:keepNext/>
              <w:keepLines/>
              <w:jc w:val="center"/>
              <w:rPr>
                <w:b/>
                <w:color w:val="FF0000"/>
              </w:rPr>
            </w:pPr>
            <w:r w:rsidRPr="00DA6EA8">
              <w:rPr>
                <w:b/>
                <w:color w:val="FF0000"/>
              </w:rPr>
              <w:t>Investment Funds NOT subject to NI 81-102 settlement provisions</w:t>
            </w:r>
          </w:p>
        </w:tc>
      </w:tr>
      <w:tr w:rsidR="00DA6EA8" w:rsidRPr="008A38E7" w14:paraId="05300F5C" w14:textId="77777777" w:rsidTr="00802360">
        <w:tc>
          <w:tcPr>
            <w:tcW w:w="2155" w:type="dxa"/>
          </w:tcPr>
          <w:p w14:paraId="4E3A2DDC" w14:textId="53F463D1" w:rsidR="007E27EB" w:rsidRPr="008A38E7" w:rsidRDefault="007E27EB" w:rsidP="00802360">
            <w:pPr>
              <w:keepNext/>
              <w:keepLines/>
              <w:ind w:left="66"/>
              <w:rPr>
                <w:sz w:val="20"/>
              </w:rPr>
            </w:pPr>
            <w:r w:rsidRPr="008A38E7">
              <w:rPr>
                <w:sz w:val="20"/>
              </w:rPr>
              <w:t>Mutual funds that are</w:t>
            </w:r>
            <w:r w:rsidR="005946AA" w:rsidRPr="008A38E7">
              <w:rPr>
                <w:sz w:val="20"/>
                <w:szCs w:val="20"/>
                <w:u w:val="single"/>
              </w:rPr>
              <w:t xml:space="preserve"> </w:t>
            </w:r>
            <w:r w:rsidRPr="008A38E7">
              <w:rPr>
                <w:sz w:val="20"/>
                <w:u w:val="single"/>
              </w:rPr>
              <w:t>not</w:t>
            </w:r>
            <w:r w:rsidRPr="008A38E7">
              <w:rPr>
                <w:sz w:val="20"/>
              </w:rPr>
              <w:t xml:space="preserve"> </w:t>
            </w:r>
            <w:r w:rsidRPr="008A38E7">
              <w:rPr>
                <w:sz w:val="20"/>
                <w:szCs w:val="20"/>
              </w:rPr>
              <w:t>‘</w:t>
            </w:r>
            <w:r w:rsidRPr="008A38E7">
              <w:rPr>
                <w:sz w:val="20"/>
              </w:rPr>
              <w:t xml:space="preserve">reporting </w:t>
            </w:r>
            <w:r w:rsidRPr="008A38E7">
              <w:rPr>
                <w:sz w:val="20"/>
                <w:szCs w:val="20"/>
              </w:rPr>
              <w:t>issuers’</w:t>
            </w:r>
          </w:p>
        </w:tc>
        <w:tc>
          <w:tcPr>
            <w:tcW w:w="3690" w:type="dxa"/>
          </w:tcPr>
          <w:p w14:paraId="28FE201F" w14:textId="1F619EEB" w:rsidR="007E27EB" w:rsidRPr="008A38E7" w:rsidRDefault="00E67A1F" w:rsidP="00802360">
            <w:pPr>
              <w:keepNext/>
              <w:keepLines/>
              <w:rPr>
                <w:sz w:val="20"/>
              </w:rPr>
            </w:pPr>
            <w:r w:rsidRPr="008A38E7">
              <w:rPr>
                <w:sz w:val="20"/>
                <w:szCs w:val="20"/>
              </w:rPr>
              <w:t>Includes mutual funds that sell securities to the public under only capital-raising exemptions in securities legislation,  e</w:t>
            </w:r>
            <w:r w:rsidRPr="008A38E7">
              <w:rPr>
                <w:sz w:val="20"/>
              </w:rPr>
              <w:t xml:space="preserve">.g., </w:t>
            </w:r>
            <w:r w:rsidR="007E27EB" w:rsidRPr="008A38E7">
              <w:rPr>
                <w:sz w:val="20"/>
              </w:rPr>
              <w:t>pooled funds (</w:t>
            </w:r>
            <w:r w:rsidR="002D2D1A" w:rsidRPr="008A38E7">
              <w:rPr>
                <w:sz w:val="20"/>
                <w:szCs w:val="20"/>
              </w:rPr>
              <w:t>4,144</w:t>
            </w:r>
            <w:r w:rsidR="007E27EB" w:rsidRPr="008A38E7">
              <w:rPr>
                <w:sz w:val="20"/>
              </w:rPr>
              <w:t xml:space="preserve"> pooled funds are cleared through Fundserv (</w:t>
            </w:r>
            <w:r w:rsidR="002D2D1A" w:rsidRPr="008A38E7">
              <w:rPr>
                <w:sz w:val="20"/>
                <w:szCs w:val="20"/>
              </w:rPr>
              <w:t>1,514</w:t>
            </w:r>
            <w:r w:rsidR="007E27EB" w:rsidRPr="008A38E7">
              <w:rPr>
                <w:sz w:val="20"/>
              </w:rPr>
              <w:t xml:space="preserve"> are T+</w:t>
            </w:r>
            <w:r w:rsidR="007E27EB" w:rsidRPr="008A38E7">
              <w:rPr>
                <w:sz w:val="20"/>
                <w:szCs w:val="20"/>
              </w:rPr>
              <w:t>2); see</w:t>
            </w:r>
            <w:r w:rsidR="007E27EB" w:rsidRPr="008A38E7">
              <w:rPr>
                <w:sz w:val="20"/>
              </w:rPr>
              <w:t xml:space="preserve"> also Commodity Pools below</w:t>
            </w:r>
            <w:r w:rsidR="007E27EB" w:rsidRPr="008A38E7">
              <w:rPr>
                <w:sz w:val="20"/>
                <w:szCs w:val="20"/>
              </w:rPr>
              <w:t>)</w:t>
            </w:r>
            <w:r w:rsidR="009823AA" w:rsidRPr="008A38E7">
              <w:rPr>
                <w:sz w:val="20"/>
                <w:szCs w:val="20"/>
              </w:rPr>
              <w:t>.</w:t>
            </w:r>
          </w:p>
        </w:tc>
        <w:tc>
          <w:tcPr>
            <w:tcW w:w="2340" w:type="dxa"/>
            <w:vAlign w:val="center"/>
          </w:tcPr>
          <w:p w14:paraId="38231EE0" w14:textId="7E526AFB" w:rsidR="007E27EB" w:rsidRPr="008A38E7" w:rsidRDefault="00E67A1F" w:rsidP="00802360">
            <w:pPr>
              <w:keepNext/>
              <w:keepLines/>
              <w:jc w:val="center"/>
              <w:rPr>
                <w:b/>
                <w:sz w:val="20"/>
              </w:rPr>
            </w:pPr>
            <w:r w:rsidRPr="008A38E7">
              <w:rPr>
                <w:b/>
                <w:bCs/>
                <w:sz w:val="20"/>
                <w:szCs w:val="20"/>
              </w:rPr>
              <w:t>May vary</w:t>
            </w:r>
          </w:p>
        </w:tc>
        <w:tc>
          <w:tcPr>
            <w:tcW w:w="2970" w:type="dxa"/>
          </w:tcPr>
          <w:p w14:paraId="62E1A2D1" w14:textId="3ADF0E14" w:rsidR="007E27EB" w:rsidRPr="008A38E7" w:rsidRDefault="00E67A1F" w:rsidP="00802360">
            <w:pPr>
              <w:keepNext/>
              <w:keepLines/>
              <w:rPr>
                <w:sz w:val="20"/>
              </w:rPr>
            </w:pPr>
            <w:r w:rsidRPr="008A38E7">
              <w:rPr>
                <w:sz w:val="20"/>
                <w:szCs w:val="20"/>
              </w:rPr>
              <w:t xml:space="preserve">Settlement governed by contract and settlement period currently ranges from T+1 to T+10.  </w:t>
            </w:r>
          </w:p>
        </w:tc>
      </w:tr>
      <w:tr w:rsidR="00DA6EA8" w:rsidRPr="00F6308E" w14:paraId="1EA9B7AF" w14:textId="77777777" w:rsidTr="00802360">
        <w:tc>
          <w:tcPr>
            <w:tcW w:w="2155" w:type="dxa"/>
          </w:tcPr>
          <w:p w14:paraId="6B66EC4E" w14:textId="77777777" w:rsidR="00E67A1F" w:rsidRPr="008A38E7" w:rsidRDefault="00E67A1F" w:rsidP="00802360">
            <w:pPr>
              <w:ind w:left="66"/>
              <w:rPr>
                <w:sz w:val="20"/>
              </w:rPr>
            </w:pPr>
            <w:r w:rsidRPr="008A38E7">
              <w:rPr>
                <w:sz w:val="20"/>
                <w:szCs w:val="20"/>
              </w:rPr>
              <w:t xml:space="preserve">Investment funds that are </w:t>
            </w:r>
            <w:r w:rsidRPr="008A38E7">
              <w:rPr>
                <w:sz w:val="20"/>
                <w:szCs w:val="20"/>
                <w:u w:val="single"/>
              </w:rPr>
              <w:t>not</w:t>
            </w:r>
            <w:r w:rsidRPr="008A38E7">
              <w:rPr>
                <w:sz w:val="20"/>
                <w:szCs w:val="20"/>
              </w:rPr>
              <w:t xml:space="preserve"> reporting issuers</w:t>
            </w:r>
          </w:p>
        </w:tc>
        <w:tc>
          <w:tcPr>
            <w:tcW w:w="3690" w:type="dxa"/>
          </w:tcPr>
          <w:p w14:paraId="66845861" w14:textId="79396360" w:rsidR="00E67A1F" w:rsidRPr="008A38E7" w:rsidRDefault="00E67A1F" w:rsidP="00802360">
            <w:pPr>
              <w:rPr>
                <w:b/>
                <w:sz w:val="20"/>
              </w:rPr>
            </w:pPr>
            <w:r w:rsidRPr="008A38E7">
              <w:rPr>
                <w:sz w:val="20"/>
                <w:szCs w:val="20"/>
              </w:rPr>
              <w:t xml:space="preserve">E.g., non-redeemable investment funds, e.g., </w:t>
            </w:r>
            <w:r w:rsidRPr="008A38E7">
              <w:rPr>
                <w:bCs/>
                <w:sz w:val="20"/>
                <w:szCs w:val="20"/>
              </w:rPr>
              <w:t>hedge funds, alternative funds, exempt market products such as MICs, REITs, mortgage funds, etc.</w:t>
            </w:r>
          </w:p>
        </w:tc>
        <w:tc>
          <w:tcPr>
            <w:tcW w:w="2340" w:type="dxa"/>
            <w:vAlign w:val="center"/>
          </w:tcPr>
          <w:p w14:paraId="7E3F7EBD" w14:textId="254D3D04" w:rsidR="00E67A1F" w:rsidRPr="008A38E7" w:rsidRDefault="00E67A1F" w:rsidP="00802360">
            <w:pPr>
              <w:jc w:val="center"/>
              <w:rPr>
                <w:sz w:val="20"/>
              </w:rPr>
            </w:pPr>
            <w:r w:rsidRPr="008A38E7">
              <w:rPr>
                <w:b/>
                <w:bCs/>
                <w:sz w:val="20"/>
                <w:szCs w:val="20"/>
              </w:rPr>
              <w:t>May vary</w:t>
            </w:r>
          </w:p>
        </w:tc>
        <w:tc>
          <w:tcPr>
            <w:tcW w:w="2970" w:type="dxa"/>
          </w:tcPr>
          <w:p w14:paraId="64EE2260" w14:textId="5BE8AF3E" w:rsidR="00E67A1F" w:rsidRPr="008A38E7" w:rsidRDefault="00E67A1F" w:rsidP="00802360">
            <w:pPr>
              <w:pStyle w:val="Default"/>
              <w:rPr>
                <w:sz w:val="20"/>
              </w:rPr>
            </w:pPr>
            <w:r w:rsidRPr="008A38E7">
              <w:rPr>
                <w:sz w:val="20"/>
                <w:szCs w:val="20"/>
              </w:rPr>
              <w:t xml:space="preserve">In Canada, the issuer of these funds publishes the settlement provisions within the prospectus or offering memorandum.  </w:t>
            </w:r>
            <w:r w:rsidRPr="008A38E7">
              <w:rPr>
                <w:bCs/>
                <w:sz w:val="20"/>
                <w:szCs w:val="20"/>
              </w:rPr>
              <w:t>Transactions that currently have a longer settlement cycle (such as T+10, for example) are not expected to change their cycle.</w:t>
            </w:r>
          </w:p>
        </w:tc>
      </w:tr>
      <w:tr w:rsidR="00E67A1F" w:rsidRPr="00F6308E" w14:paraId="10764927" w14:textId="77777777" w:rsidTr="00802360">
        <w:tc>
          <w:tcPr>
            <w:tcW w:w="2155" w:type="dxa"/>
          </w:tcPr>
          <w:p w14:paraId="6FF8833F" w14:textId="77777777" w:rsidR="00E67A1F" w:rsidRPr="00F6308E" w:rsidRDefault="00E67A1F" w:rsidP="00802360">
            <w:pPr>
              <w:ind w:left="66"/>
              <w:rPr>
                <w:sz w:val="20"/>
                <w:szCs w:val="20"/>
              </w:rPr>
            </w:pPr>
            <w:r w:rsidRPr="00F6308E">
              <w:rPr>
                <w:sz w:val="20"/>
                <w:szCs w:val="20"/>
              </w:rPr>
              <w:t>Scholarship or education plans</w:t>
            </w:r>
          </w:p>
        </w:tc>
        <w:tc>
          <w:tcPr>
            <w:tcW w:w="3690" w:type="dxa"/>
          </w:tcPr>
          <w:p w14:paraId="2BCFFD73" w14:textId="77777777" w:rsidR="00E67A1F" w:rsidRPr="00F6308E" w:rsidRDefault="00E67A1F" w:rsidP="00802360">
            <w:pPr>
              <w:ind w:firstLine="720"/>
              <w:rPr>
                <w:sz w:val="20"/>
                <w:szCs w:val="20"/>
                <w:lang w:val="fr-CA"/>
              </w:rPr>
            </w:pPr>
          </w:p>
        </w:tc>
        <w:tc>
          <w:tcPr>
            <w:tcW w:w="2340" w:type="dxa"/>
            <w:vAlign w:val="center"/>
          </w:tcPr>
          <w:p w14:paraId="653AFE77" w14:textId="09C6F7B7" w:rsidR="00E67A1F" w:rsidRPr="00E67A1F" w:rsidRDefault="00E67A1F" w:rsidP="00802360">
            <w:pPr>
              <w:jc w:val="center"/>
              <w:rPr>
                <w:bCs/>
                <w:i/>
                <w:iCs/>
                <w:sz w:val="20"/>
                <w:szCs w:val="20"/>
              </w:rPr>
            </w:pPr>
            <w:r w:rsidRPr="00E67A1F">
              <w:rPr>
                <w:bCs/>
                <w:sz w:val="20"/>
                <w:szCs w:val="20"/>
              </w:rPr>
              <w:t>Out of scope</w:t>
            </w:r>
          </w:p>
        </w:tc>
        <w:tc>
          <w:tcPr>
            <w:tcW w:w="2970" w:type="dxa"/>
          </w:tcPr>
          <w:p w14:paraId="23410555" w14:textId="77777777" w:rsidR="00E67A1F" w:rsidRPr="00F6308E" w:rsidRDefault="00E67A1F" w:rsidP="00802360">
            <w:pPr>
              <w:rPr>
                <w:sz w:val="20"/>
                <w:szCs w:val="20"/>
              </w:rPr>
            </w:pPr>
          </w:p>
        </w:tc>
      </w:tr>
      <w:tr w:rsidR="00E67A1F" w:rsidRPr="00F6308E" w14:paraId="633A7885" w14:textId="77777777" w:rsidTr="00802360">
        <w:tc>
          <w:tcPr>
            <w:tcW w:w="2155" w:type="dxa"/>
          </w:tcPr>
          <w:p w14:paraId="24E10448" w14:textId="77777777" w:rsidR="00E67A1F" w:rsidRPr="00F6308E" w:rsidRDefault="00E67A1F" w:rsidP="00802360">
            <w:pPr>
              <w:ind w:left="66"/>
              <w:rPr>
                <w:sz w:val="20"/>
                <w:szCs w:val="20"/>
              </w:rPr>
            </w:pPr>
            <w:r w:rsidRPr="00F6308E">
              <w:rPr>
                <w:sz w:val="20"/>
                <w:szCs w:val="20"/>
              </w:rPr>
              <w:t xml:space="preserve">Investment funds organized under an </w:t>
            </w:r>
            <w:r w:rsidRPr="00F6308E">
              <w:rPr>
                <w:i/>
                <w:sz w:val="20"/>
                <w:szCs w:val="20"/>
              </w:rPr>
              <w:lastRenderedPageBreak/>
              <w:t xml:space="preserve">Act to establish the Fonds de </w:t>
            </w:r>
            <w:proofErr w:type="spellStart"/>
            <w:r w:rsidRPr="00F6308E">
              <w:rPr>
                <w:i/>
                <w:sz w:val="20"/>
                <w:szCs w:val="20"/>
              </w:rPr>
              <w:t>solidarité</w:t>
            </w:r>
            <w:proofErr w:type="spellEnd"/>
            <w:r w:rsidRPr="00F6308E">
              <w:rPr>
                <w:i/>
                <w:sz w:val="20"/>
                <w:szCs w:val="20"/>
              </w:rPr>
              <w:t xml:space="preserve"> des </w:t>
            </w:r>
            <w:proofErr w:type="spellStart"/>
            <w:r w:rsidRPr="00F6308E">
              <w:rPr>
                <w:i/>
                <w:sz w:val="20"/>
                <w:szCs w:val="20"/>
              </w:rPr>
              <w:t>travailleurs</w:t>
            </w:r>
            <w:proofErr w:type="spellEnd"/>
            <w:r w:rsidRPr="00F6308E">
              <w:rPr>
                <w:i/>
                <w:sz w:val="20"/>
                <w:szCs w:val="20"/>
              </w:rPr>
              <w:t xml:space="preserve"> du Québec</w:t>
            </w:r>
            <w:r w:rsidRPr="00F6308E">
              <w:rPr>
                <w:sz w:val="20"/>
                <w:szCs w:val="20"/>
              </w:rPr>
              <w:t xml:space="preserve"> (F.T.Q.) (chapter F-3.2.1)</w:t>
            </w:r>
          </w:p>
        </w:tc>
        <w:tc>
          <w:tcPr>
            <w:tcW w:w="3690" w:type="dxa"/>
          </w:tcPr>
          <w:p w14:paraId="676E10F3" w14:textId="0B43D344" w:rsidR="00E67A1F" w:rsidRPr="00F6308E" w:rsidRDefault="00E67A1F" w:rsidP="00802360">
            <w:pPr>
              <w:rPr>
                <w:b/>
                <w:sz w:val="20"/>
                <w:szCs w:val="20"/>
              </w:rPr>
            </w:pPr>
            <w:r>
              <w:rPr>
                <w:sz w:val="20"/>
                <w:szCs w:val="20"/>
              </w:rPr>
              <w:lastRenderedPageBreak/>
              <w:t xml:space="preserve">See </w:t>
            </w:r>
            <w:r w:rsidRPr="006B3FD1">
              <w:rPr>
                <w:sz w:val="20"/>
                <w:szCs w:val="20"/>
              </w:rPr>
              <w:t xml:space="preserve">https://www.fondsftq.com/ </w:t>
            </w:r>
            <w:r>
              <w:rPr>
                <w:sz w:val="20"/>
                <w:szCs w:val="20"/>
              </w:rPr>
              <w:t xml:space="preserve">(French) or </w:t>
            </w:r>
            <w:r w:rsidRPr="008018CF">
              <w:rPr>
                <w:sz w:val="20"/>
                <w:szCs w:val="20"/>
              </w:rPr>
              <w:lastRenderedPageBreak/>
              <w:t xml:space="preserve">https://www.fondsftq.com/en/accueil.aspx </w:t>
            </w:r>
            <w:r>
              <w:rPr>
                <w:sz w:val="20"/>
                <w:szCs w:val="20"/>
              </w:rPr>
              <w:t>(English)</w:t>
            </w:r>
          </w:p>
        </w:tc>
        <w:tc>
          <w:tcPr>
            <w:tcW w:w="2340" w:type="dxa"/>
            <w:vAlign w:val="center"/>
          </w:tcPr>
          <w:p w14:paraId="048D2F78" w14:textId="02A9E33F" w:rsidR="00E67A1F" w:rsidRPr="00E67A1F" w:rsidRDefault="00E67A1F" w:rsidP="00802360">
            <w:pPr>
              <w:jc w:val="center"/>
              <w:rPr>
                <w:bCs/>
                <w:sz w:val="20"/>
                <w:szCs w:val="20"/>
              </w:rPr>
            </w:pPr>
            <w:r w:rsidRPr="00E67A1F">
              <w:rPr>
                <w:bCs/>
                <w:sz w:val="20"/>
                <w:szCs w:val="20"/>
              </w:rPr>
              <w:lastRenderedPageBreak/>
              <w:t>Out of scope</w:t>
            </w:r>
            <w:r w:rsidR="00D36807">
              <w:rPr>
                <w:bCs/>
                <w:sz w:val="20"/>
                <w:szCs w:val="20"/>
              </w:rPr>
              <w:t>;</w:t>
            </w:r>
            <w:r w:rsidRPr="00E67A1F">
              <w:rPr>
                <w:bCs/>
                <w:sz w:val="20"/>
                <w:szCs w:val="20"/>
              </w:rPr>
              <w:t xml:space="preserve">  </w:t>
            </w:r>
            <w:r w:rsidR="00D36807">
              <w:rPr>
                <w:bCs/>
                <w:sz w:val="20"/>
                <w:szCs w:val="20"/>
              </w:rPr>
              <w:t>s</w:t>
            </w:r>
            <w:r w:rsidRPr="00E67A1F">
              <w:rPr>
                <w:bCs/>
                <w:sz w:val="20"/>
                <w:szCs w:val="20"/>
              </w:rPr>
              <w:t xml:space="preserve">ubscription settlement </w:t>
            </w:r>
            <w:r w:rsidRPr="00E67A1F">
              <w:rPr>
                <w:bCs/>
                <w:sz w:val="20"/>
                <w:szCs w:val="20"/>
              </w:rPr>
              <w:lastRenderedPageBreak/>
              <w:t>governed by contract</w:t>
            </w:r>
            <w:r w:rsidR="00224123">
              <w:rPr>
                <w:bCs/>
                <w:sz w:val="20"/>
                <w:szCs w:val="20"/>
              </w:rPr>
              <w:t>.</w:t>
            </w:r>
            <w:r w:rsidRPr="00E67A1F">
              <w:rPr>
                <w:bCs/>
                <w:sz w:val="20"/>
                <w:szCs w:val="20"/>
              </w:rPr>
              <w:t xml:space="preserve">  Redemptions governed by statute</w:t>
            </w:r>
          </w:p>
        </w:tc>
        <w:tc>
          <w:tcPr>
            <w:tcW w:w="2970" w:type="dxa"/>
          </w:tcPr>
          <w:p w14:paraId="3762C55E" w14:textId="77777777" w:rsidR="00E67A1F" w:rsidRPr="00F6308E" w:rsidRDefault="00E67A1F" w:rsidP="00802360">
            <w:pPr>
              <w:rPr>
                <w:sz w:val="20"/>
                <w:szCs w:val="20"/>
              </w:rPr>
            </w:pPr>
          </w:p>
        </w:tc>
      </w:tr>
      <w:tr w:rsidR="00E67A1F" w:rsidRPr="00F6308E" w14:paraId="251482AC" w14:textId="77777777" w:rsidTr="00802360">
        <w:tc>
          <w:tcPr>
            <w:tcW w:w="2155" w:type="dxa"/>
          </w:tcPr>
          <w:p w14:paraId="552E6A32" w14:textId="77777777" w:rsidR="00E67A1F" w:rsidRPr="00F6308E" w:rsidRDefault="00E67A1F" w:rsidP="00802360">
            <w:pPr>
              <w:ind w:left="66"/>
              <w:rPr>
                <w:sz w:val="20"/>
                <w:szCs w:val="20"/>
                <w:lang w:val="fr-CA"/>
              </w:rPr>
            </w:pPr>
            <w:r w:rsidRPr="001E7E7F">
              <w:rPr>
                <w:sz w:val="20"/>
                <w:szCs w:val="20"/>
                <w:lang w:val="fr-CA"/>
              </w:rPr>
              <w:t xml:space="preserve">Investment </w:t>
            </w:r>
            <w:proofErr w:type="spellStart"/>
            <w:r w:rsidRPr="001E7E7F">
              <w:rPr>
                <w:sz w:val="20"/>
                <w:szCs w:val="20"/>
                <w:lang w:val="fr-CA"/>
              </w:rPr>
              <w:t>funds</w:t>
            </w:r>
            <w:proofErr w:type="spellEnd"/>
            <w:r w:rsidRPr="001E7E7F">
              <w:rPr>
                <w:sz w:val="20"/>
                <w:szCs w:val="20"/>
                <w:lang w:val="fr-CA"/>
              </w:rPr>
              <w:t xml:space="preserve"> </w:t>
            </w:r>
            <w:proofErr w:type="spellStart"/>
            <w:r w:rsidRPr="001E7E7F">
              <w:rPr>
                <w:sz w:val="20"/>
                <w:szCs w:val="20"/>
                <w:lang w:val="fr-CA"/>
              </w:rPr>
              <w:t>organized</w:t>
            </w:r>
            <w:proofErr w:type="spellEnd"/>
            <w:r w:rsidRPr="001E7E7F">
              <w:rPr>
                <w:sz w:val="20"/>
                <w:szCs w:val="20"/>
                <w:lang w:val="fr-CA"/>
              </w:rPr>
              <w:t xml:space="preserve"> </w:t>
            </w:r>
            <w:proofErr w:type="spellStart"/>
            <w:r w:rsidRPr="001E7E7F">
              <w:rPr>
                <w:sz w:val="20"/>
                <w:szCs w:val="20"/>
                <w:lang w:val="fr-CA"/>
              </w:rPr>
              <w:t>under</w:t>
            </w:r>
            <w:proofErr w:type="spellEnd"/>
            <w:r w:rsidRPr="001E7E7F">
              <w:rPr>
                <w:sz w:val="20"/>
                <w:szCs w:val="20"/>
                <w:lang w:val="fr-CA"/>
              </w:rPr>
              <w:t xml:space="preserve"> an </w:t>
            </w:r>
            <w:proofErr w:type="spellStart"/>
            <w:r w:rsidRPr="001E7E7F">
              <w:rPr>
                <w:i/>
                <w:sz w:val="20"/>
                <w:szCs w:val="20"/>
                <w:lang w:val="fr-CA"/>
              </w:rPr>
              <w:t>Act</w:t>
            </w:r>
            <w:proofErr w:type="spellEnd"/>
            <w:r w:rsidRPr="001E7E7F">
              <w:rPr>
                <w:i/>
                <w:sz w:val="20"/>
                <w:szCs w:val="20"/>
                <w:lang w:val="fr-CA"/>
              </w:rPr>
              <w:t xml:space="preserve"> to </w:t>
            </w:r>
            <w:proofErr w:type="spellStart"/>
            <w:r w:rsidRPr="001E7E7F">
              <w:rPr>
                <w:i/>
                <w:sz w:val="20"/>
                <w:szCs w:val="20"/>
                <w:lang w:val="fr-CA"/>
              </w:rPr>
              <w:t>establish</w:t>
            </w:r>
            <w:proofErr w:type="spellEnd"/>
            <w:r w:rsidRPr="001E7E7F">
              <w:rPr>
                <w:i/>
                <w:sz w:val="20"/>
                <w:szCs w:val="20"/>
                <w:lang w:val="fr-CA"/>
              </w:rPr>
              <w:t xml:space="preserve"> </w:t>
            </w:r>
            <w:proofErr w:type="spellStart"/>
            <w:r w:rsidRPr="001E7E7F">
              <w:rPr>
                <w:i/>
                <w:sz w:val="20"/>
                <w:szCs w:val="20"/>
                <w:lang w:val="fr-CA"/>
              </w:rPr>
              <w:t>Fondaction</w:t>
            </w:r>
            <w:proofErr w:type="spellEnd"/>
            <w:r w:rsidRPr="001E7E7F">
              <w:rPr>
                <w:i/>
                <w:sz w:val="20"/>
                <w:szCs w:val="20"/>
                <w:lang w:val="fr-CA"/>
              </w:rPr>
              <w:t xml:space="preserve">, le Fonds de développement de la Confédération des syndicats </w:t>
            </w:r>
            <w:r w:rsidRPr="00F6308E">
              <w:rPr>
                <w:i/>
                <w:sz w:val="20"/>
                <w:szCs w:val="20"/>
                <w:lang w:val="fr-CA"/>
              </w:rPr>
              <w:t>nationaux pour la coopération et l'emploi</w:t>
            </w:r>
            <w:r w:rsidRPr="00F6308E">
              <w:rPr>
                <w:sz w:val="20"/>
                <w:szCs w:val="20"/>
                <w:lang w:val="fr-CA"/>
              </w:rPr>
              <w:t xml:space="preserve"> (</w:t>
            </w:r>
            <w:proofErr w:type="spellStart"/>
            <w:r w:rsidRPr="00F6308E">
              <w:rPr>
                <w:sz w:val="20"/>
                <w:szCs w:val="20"/>
                <w:lang w:val="fr-CA"/>
              </w:rPr>
              <w:t>chapter</w:t>
            </w:r>
            <w:proofErr w:type="spellEnd"/>
            <w:r w:rsidRPr="00F6308E">
              <w:rPr>
                <w:sz w:val="20"/>
                <w:szCs w:val="20"/>
                <w:lang w:val="fr-CA"/>
              </w:rPr>
              <w:t xml:space="preserve"> F-3.1.2)</w:t>
            </w:r>
          </w:p>
        </w:tc>
        <w:tc>
          <w:tcPr>
            <w:tcW w:w="3690" w:type="dxa"/>
          </w:tcPr>
          <w:p w14:paraId="70ACDEDF" w14:textId="26F66BB8" w:rsidR="00E67A1F" w:rsidRPr="002E7FD6" w:rsidRDefault="00E67A1F" w:rsidP="00802360">
            <w:pPr>
              <w:rPr>
                <w:sz w:val="20"/>
                <w:szCs w:val="20"/>
                <w:lang w:val="en-US"/>
              </w:rPr>
            </w:pPr>
            <w:r>
              <w:rPr>
                <w:sz w:val="20"/>
                <w:szCs w:val="20"/>
              </w:rPr>
              <w:t xml:space="preserve">See </w:t>
            </w:r>
            <w:hyperlink r:id="rId9" w:history="1">
              <w:r w:rsidRPr="00E53A09">
                <w:rPr>
                  <w:rStyle w:val="Hyperlink"/>
                  <w:sz w:val="20"/>
                  <w:szCs w:val="20"/>
                </w:rPr>
                <w:t>http://www.fondaction.com/</w:t>
              </w:r>
            </w:hyperlink>
            <w:r>
              <w:rPr>
                <w:sz w:val="20"/>
                <w:szCs w:val="20"/>
              </w:rPr>
              <w:t xml:space="preserve"> (French) and </w:t>
            </w:r>
            <w:hyperlink r:id="rId10" w:history="1">
              <w:r w:rsidRPr="00FF4787">
                <w:rPr>
                  <w:rStyle w:val="Hyperlink"/>
                  <w:sz w:val="20"/>
                  <w:szCs w:val="20"/>
                </w:rPr>
                <w:t>http://www.fondaction.com/english.php</w:t>
              </w:r>
            </w:hyperlink>
            <w:r>
              <w:rPr>
                <w:sz w:val="20"/>
                <w:szCs w:val="20"/>
              </w:rPr>
              <w:t xml:space="preserve"> (English)</w:t>
            </w:r>
          </w:p>
        </w:tc>
        <w:tc>
          <w:tcPr>
            <w:tcW w:w="2340" w:type="dxa"/>
            <w:vAlign w:val="center"/>
          </w:tcPr>
          <w:p w14:paraId="32EF01A1" w14:textId="7A4BDBA1" w:rsidR="00E67A1F" w:rsidRPr="00D711A6" w:rsidRDefault="00E67A1F" w:rsidP="00802360">
            <w:pPr>
              <w:jc w:val="center"/>
              <w:rPr>
                <w:bCs/>
                <w:sz w:val="20"/>
                <w:szCs w:val="20"/>
              </w:rPr>
            </w:pPr>
            <w:r w:rsidRPr="00D711A6">
              <w:rPr>
                <w:bCs/>
                <w:sz w:val="20"/>
                <w:szCs w:val="20"/>
              </w:rPr>
              <w:t>Out of scope</w:t>
            </w:r>
          </w:p>
        </w:tc>
        <w:tc>
          <w:tcPr>
            <w:tcW w:w="2970" w:type="dxa"/>
            <w:vAlign w:val="center"/>
          </w:tcPr>
          <w:p w14:paraId="161E57A1" w14:textId="6016108B" w:rsidR="00E67A1F" w:rsidRPr="00F6308E" w:rsidRDefault="00E67A1F" w:rsidP="00802360">
            <w:pPr>
              <w:rPr>
                <w:sz w:val="20"/>
                <w:szCs w:val="20"/>
              </w:rPr>
            </w:pPr>
            <w:r w:rsidRPr="00D711A6">
              <w:rPr>
                <w:bCs/>
                <w:sz w:val="20"/>
                <w:szCs w:val="20"/>
              </w:rPr>
              <w:t>Subscription settlement governed by contract.  Redemptions governed by statute.</w:t>
            </w:r>
          </w:p>
        </w:tc>
      </w:tr>
      <w:tr w:rsidR="00E67A1F" w:rsidRPr="00F6308E" w14:paraId="36B7B003" w14:textId="77777777" w:rsidTr="00802360">
        <w:tc>
          <w:tcPr>
            <w:tcW w:w="2155" w:type="dxa"/>
          </w:tcPr>
          <w:p w14:paraId="1EE5C964" w14:textId="77777777" w:rsidR="00E67A1F" w:rsidRPr="00F6308E" w:rsidRDefault="00E67A1F" w:rsidP="00802360">
            <w:pPr>
              <w:ind w:left="66"/>
              <w:rPr>
                <w:sz w:val="20"/>
                <w:szCs w:val="20"/>
              </w:rPr>
            </w:pPr>
            <w:r w:rsidRPr="00F6308E">
              <w:rPr>
                <w:sz w:val="20"/>
                <w:szCs w:val="20"/>
              </w:rPr>
              <w:t xml:space="preserve">Investment funds organized under an </w:t>
            </w:r>
            <w:r w:rsidRPr="00F6308E">
              <w:rPr>
                <w:i/>
                <w:sz w:val="20"/>
                <w:szCs w:val="20"/>
              </w:rPr>
              <w:t xml:space="preserve">Act constituting Capital </w:t>
            </w:r>
            <w:proofErr w:type="spellStart"/>
            <w:r w:rsidRPr="00F6308E">
              <w:rPr>
                <w:i/>
                <w:sz w:val="20"/>
                <w:szCs w:val="20"/>
              </w:rPr>
              <w:t>régional</w:t>
            </w:r>
            <w:proofErr w:type="spellEnd"/>
            <w:r w:rsidRPr="00F6308E">
              <w:rPr>
                <w:i/>
                <w:sz w:val="20"/>
                <w:szCs w:val="20"/>
              </w:rPr>
              <w:t xml:space="preserve"> et </w:t>
            </w:r>
            <w:proofErr w:type="spellStart"/>
            <w:r w:rsidRPr="00F6308E">
              <w:rPr>
                <w:i/>
                <w:sz w:val="20"/>
                <w:szCs w:val="20"/>
              </w:rPr>
              <w:t>coopératif</w:t>
            </w:r>
            <w:proofErr w:type="spellEnd"/>
            <w:r w:rsidRPr="00F6308E">
              <w:rPr>
                <w:i/>
                <w:sz w:val="20"/>
                <w:szCs w:val="20"/>
              </w:rPr>
              <w:t xml:space="preserve"> Desjardins</w:t>
            </w:r>
            <w:r w:rsidRPr="00F6308E">
              <w:rPr>
                <w:sz w:val="20"/>
                <w:szCs w:val="20"/>
              </w:rPr>
              <w:t xml:space="preserve"> (chapter C-6.1)</w:t>
            </w:r>
          </w:p>
        </w:tc>
        <w:tc>
          <w:tcPr>
            <w:tcW w:w="3690" w:type="dxa"/>
          </w:tcPr>
          <w:p w14:paraId="706BD10D" w14:textId="77777777" w:rsidR="00E67A1F" w:rsidRPr="00F6308E" w:rsidRDefault="00E67A1F" w:rsidP="00802360">
            <w:pPr>
              <w:rPr>
                <w:sz w:val="20"/>
                <w:szCs w:val="20"/>
              </w:rPr>
            </w:pPr>
            <w:r>
              <w:rPr>
                <w:sz w:val="20"/>
                <w:szCs w:val="20"/>
              </w:rPr>
              <w:t xml:space="preserve">See </w:t>
            </w:r>
            <w:hyperlink r:id="rId11" w:history="1">
              <w:r w:rsidRPr="00FF4787">
                <w:rPr>
                  <w:rStyle w:val="Hyperlink"/>
                  <w:sz w:val="20"/>
                  <w:szCs w:val="20"/>
                </w:rPr>
                <w:t>http://capitalregional.com/</w:t>
              </w:r>
            </w:hyperlink>
            <w:r>
              <w:rPr>
                <w:sz w:val="20"/>
                <w:szCs w:val="20"/>
              </w:rPr>
              <w:t xml:space="preserve"> (French) and </w:t>
            </w:r>
            <w:hyperlink r:id="rId12" w:history="1">
              <w:r w:rsidRPr="00FF4787">
                <w:rPr>
                  <w:rStyle w:val="Hyperlink"/>
                  <w:sz w:val="20"/>
                  <w:szCs w:val="20"/>
                </w:rPr>
                <w:t>http://capitalregional.com/en/</w:t>
              </w:r>
            </w:hyperlink>
            <w:r>
              <w:rPr>
                <w:sz w:val="20"/>
                <w:szCs w:val="20"/>
              </w:rPr>
              <w:t xml:space="preserve"> (English)</w:t>
            </w:r>
          </w:p>
        </w:tc>
        <w:tc>
          <w:tcPr>
            <w:tcW w:w="2340" w:type="dxa"/>
            <w:vAlign w:val="center"/>
          </w:tcPr>
          <w:p w14:paraId="733FC3C0" w14:textId="6EFAA282" w:rsidR="00E67A1F" w:rsidRPr="00D711A6" w:rsidRDefault="00E67A1F" w:rsidP="00802360">
            <w:pPr>
              <w:jc w:val="center"/>
              <w:rPr>
                <w:bCs/>
                <w:sz w:val="20"/>
                <w:szCs w:val="20"/>
              </w:rPr>
            </w:pPr>
            <w:r w:rsidRPr="00D711A6">
              <w:rPr>
                <w:bCs/>
                <w:sz w:val="20"/>
                <w:szCs w:val="20"/>
              </w:rPr>
              <w:t>Out of scope</w:t>
            </w:r>
          </w:p>
        </w:tc>
        <w:tc>
          <w:tcPr>
            <w:tcW w:w="2970" w:type="dxa"/>
            <w:vAlign w:val="center"/>
          </w:tcPr>
          <w:p w14:paraId="70458978" w14:textId="2039398F" w:rsidR="00E67A1F" w:rsidRPr="00F6308E" w:rsidRDefault="00E67A1F" w:rsidP="00802360">
            <w:pPr>
              <w:rPr>
                <w:sz w:val="20"/>
                <w:szCs w:val="20"/>
              </w:rPr>
            </w:pPr>
            <w:r w:rsidRPr="00F6308E">
              <w:rPr>
                <w:sz w:val="20"/>
                <w:szCs w:val="20"/>
              </w:rPr>
              <w:t>Subscription settlement governed by contract.  Redemptions governed by statute.</w:t>
            </w:r>
          </w:p>
        </w:tc>
      </w:tr>
      <w:tr w:rsidR="00E67A1F" w:rsidRPr="00F6308E" w14:paraId="7ADD8E30" w14:textId="77777777" w:rsidTr="00802360">
        <w:tc>
          <w:tcPr>
            <w:tcW w:w="2155" w:type="dxa"/>
          </w:tcPr>
          <w:p w14:paraId="3FE840D3" w14:textId="77777777" w:rsidR="00E67A1F" w:rsidRPr="00F6308E" w:rsidRDefault="00E67A1F" w:rsidP="00802360">
            <w:pPr>
              <w:ind w:left="66"/>
              <w:rPr>
                <w:sz w:val="20"/>
                <w:szCs w:val="20"/>
              </w:rPr>
            </w:pPr>
            <w:r w:rsidRPr="00F6308E">
              <w:rPr>
                <w:sz w:val="20"/>
                <w:szCs w:val="20"/>
              </w:rPr>
              <w:t>Labour-Sponsored Investment Funds (LSIFs)</w:t>
            </w:r>
          </w:p>
        </w:tc>
        <w:tc>
          <w:tcPr>
            <w:tcW w:w="3690" w:type="dxa"/>
          </w:tcPr>
          <w:p w14:paraId="4C0BC168" w14:textId="214DFD8C" w:rsidR="00E67A1F" w:rsidRPr="00F6308E" w:rsidRDefault="00E67A1F" w:rsidP="00802360">
            <w:pPr>
              <w:rPr>
                <w:sz w:val="20"/>
                <w:szCs w:val="20"/>
              </w:rPr>
            </w:pPr>
            <w:r w:rsidRPr="00D711A6">
              <w:rPr>
                <w:bCs/>
                <w:sz w:val="20"/>
                <w:szCs w:val="20"/>
              </w:rPr>
              <w:t xml:space="preserve">Regulation 1015 General issued pursuant to the </w:t>
            </w:r>
            <w:r w:rsidRPr="00D711A6">
              <w:rPr>
                <w:bCs/>
                <w:i/>
                <w:sz w:val="20"/>
                <w:szCs w:val="20"/>
              </w:rPr>
              <w:t>Securities Act</w:t>
            </w:r>
            <w:r w:rsidRPr="00D711A6">
              <w:rPr>
                <w:bCs/>
                <w:sz w:val="20"/>
                <w:szCs w:val="20"/>
              </w:rPr>
              <w:t xml:space="preserve"> (Ontario), s. 240(2) paragraph 8, a rule, policy, or practice of the Commission or Director shall not apply to matters sales or redemptions of securities of mutual funds with respect to LSIFs)</w:t>
            </w:r>
          </w:p>
        </w:tc>
        <w:tc>
          <w:tcPr>
            <w:tcW w:w="2340" w:type="dxa"/>
            <w:vAlign w:val="center"/>
          </w:tcPr>
          <w:p w14:paraId="7A079C0D" w14:textId="03F5AF0F" w:rsidR="00E67A1F" w:rsidRPr="00E67A1F" w:rsidRDefault="00E67A1F" w:rsidP="00802360">
            <w:pPr>
              <w:jc w:val="center"/>
              <w:rPr>
                <w:b/>
                <w:sz w:val="20"/>
                <w:szCs w:val="20"/>
              </w:rPr>
            </w:pPr>
            <w:r w:rsidRPr="00E67A1F">
              <w:rPr>
                <w:b/>
                <w:sz w:val="20"/>
                <w:szCs w:val="20"/>
              </w:rPr>
              <w:t>May vary</w:t>
            </w:r>
          </w:p>
        </w:tc>
        <w:tc>
          <w:tcPr>
            <w:tcW w:w="2970" w:type="dxa"/>
            <w:vAlign w:val="center"/>
          </w:tcPr>
          <w:p w14:paraId="10FAA6CC" w14:textId="49AF1422" w:rsidR="00E67A1F" w:rsidRPr="00F6308E" w:rsidRDefault="00E67A1F" w:rsidP="00802360">
            <w:pPr>
              <w:rPr>
                <w:sz w:val="20"/>
                <w:szCs w:val="20"/>
              </w:rPr>
            </w:pPr>
            <w:r>
              <w:rPr>
                <w:sz w:val="20"/>
                <w:szCs w:val="20"/>
              </w:rPr>
              <w:t>101</w:t>
            </w:r>
            <w:r w:rsidRPr="00F6308E">
              <w:rPr>
                <w:sz w:val="20"/>
                <w:szCs w:val="20"/>
              </w:rPr>
              <w:t xml:space="preserve"> LSIFs are cleared through Fundserv </w:t>
            </w:r>
            <w:r>
              <w:rPr>
                <w:sz w:val="20"/>
                <w:szCs w:val="20"/>
              </w:rPr>
              <w:t>and 55 are</w:t>
            </w:r>
            <w:r w:rsidRPr="00F6308E">
              <w:rPr>
                <w:sz w:val="20"/>
                <w:szCs w:val="20"/>
              </w:rPr>
              <w:t>T+</w:t>
            </w:r>
            <w:r>
              <w:rPr>
                <w:sz w:val="20"/>
                <w:szCs w:val="20"/>
              </w:rPr>
              <w:t>2</w:t>
            </w:r>
          </w:p>
        </w:tc>
      </w:tr>
      <w:tr w:rsidR="00E67A1F" w:rsidRPr="00F6308E" w14:paraId="64AF4DC1" w14:textId="77777777" w:rsidTr="00802360">
        <w:tc>
          <w:tcPr>
            <w:tcW w:w="2155" w:type="dxa"/>
          </w:tcPr>
          <w:p w14:paraId="20A4BC7A" w14:textId="77777777" w:rsidR="00E67A1F" w:rsidRPr="00F6308E" w:rsidRDefault="00E67A1F" w:rsidP="00802360">
            <w:pPr>
              <w:rPr>
                <w:sz w:val="20"/>
                <w:szCs w:val="20"/>
              </w:rPr>
            </w:pPr>
            <w:r w:rsidRPr="00F6308E">
              <w:rPr>
                <w:sz w:val="20"/>
                <w:szCs w:val="20"/>
              </w:rPr>
              <w:t>Private mutual funds</w:t>
            </w:r>
          </w:p>
        </w:tc>
        <w:tc>
          <w:tcPr>
            <w:tcW w:w="3690" w:type="dxa"/>
          </w:tcPr>
          <w:p w14:paraId="6ADF63AB" w14:textId="77777777" w:rsidR="00E67A1F" w:rsidRPr="00F6308E" w:rsidRDefault="00E67A1F" w:rsidP="00802360">
            <w:pPr>
              <w:rPr>
                <w:sz w:val="20"/>
                <w:szCs w:val="20"/>
              </w:rPr>
            </w:pPr>
            <w:r w:rsidRPr="00F6308E">
              <w:rPr>
                <w:sz w:val="20"/>
                <w:szCs w:val="20"/>
              </w:rPr>
              <w:t>E.g., investment clubs</w:t>
            </w:r>
          </w:p>
        </w:tc>
        <w:tc>
          <w:tcPr>
            <w:tcW w:w="2340" w:type="dxa"/>
            <w:vAlign w:val="center"/>
          </w:tcPr>
          <w:p w14:paraId="16FF7EAD" w14:textId="7ABEAD02" w:rsidR="00E67A1F" w:rsidRPr="00D711A6" w:rsidRDefault="00E67A1F" w:rsidP="00802360">
            <w:pPr>
              <w:jc w:val="center"/>
              <w:rPr>
                <w:bCs/>
                <w:sz w:val="20"/>
                <w:szCs w:val="20"/>
              </w:rPr>
            </w:pPr>
            <w:r w:rsidRPr="00D711A6">
              <w:rPr>
                <w:bCs/>
                <w:sz w:val="20"/>
                <w:szCs w:val="20"/>
              </w:rPr>
              <w:t>Out of scope</w:t>
            </w:r>
          </w:p>
        </w:tc>
        <w:tc>
          <w:tcPr>
            <w:tcW w:w="2970" w:type="dxa"/>
          </w:tcPr>
          <w:p w14:paraId="62AB6785" w14:textId="77777777" w:rsidR="00E67A1F" w:rsidRPr="00F6308E" w:rsidRDefault="00E67A1F" w:rsidP="00802360">
            <w:pPr>
              <w:rPr>
                <w:sz w:val="20"/>
                <w:szCs w:val="20"/>
              </w:rPr>
            </w:pPr>
            <w:r w:rsidRPr="00F6308E">
              <w:rPr>
                <w:sz w:val="20"/>
                <w:szCs w:val="20"/>
              </w:rPr>
              <w:t>Settlement period may be governed by contract.</w:t>
            </w:r>
          </w:p>
        </w:tc>
      </w:tr>
      <w:tr w:rsidR="00E67A1F" w:rsidRPr="00F6308E" w14:paraId="101E78D3" w14:textId="77777777" w:rsidTr="00802360">
        <w:trPr>
          <w:trHeight w:val="948"/>
        </w:trPr>
        <w:tc>
          <w:tcPr>
            <w:tcW w:w="2155" w:type="dxa"/>
          </w:tcPr>
          <w:p w14:paraId="3446C94B" w14:textId="77777777" w:rsidR="00E67A1F" w:rsidRPr="00F6308E" w:rsidRDefault="00E67A1F" w:rsidP="00802360">
            <w:pPr>
              <w:rPr>
                <w:sz w:val="20"/>
                <w:szCs w:val="20"/>
              </w:rPr>
            </w:pPr>
            <w:r w:rsidRPr="00F6308E">
              <w:rPr>
                <w:sz w:val="20"/>
                <w:szCs w:val="20"/>
              </w:rPr>
              <w:t>Commodity pools</w:t>
            </w:r>
          </w:p>
        </w:tc>
        <w:tc>
          <w:tcPr>
            <w:tcW w:w="3690" w:type="dxa"/>
          </w:tcPr>
          <w:p w14:paraId="1AA51678" w14:textId="77777777" w:rsidR="00E67A1F" w:rsidRPr="00F6308E" w:rsidRDefault="00E67A1F" w:rsidP="00802360">
            <w:pPr>
              <w:pStyle w:val="Default"/>
              <w:rPr>
                <w:sz w:val="20"/>
                <w:szCs w:val="20"/>
              </w:rPr>
            </w:pPr>
            <w:r w:rsidRPr="00F6308E">
              <w:rPr>
                <w:sz w:val="20"/>
                <w:szCs w:val="20"/>
              </w:rPr>
              <w:t>Mutual funds that are permitted to invest in derivatives or commodities (where otherwise prohibited under NI 81-102)</w:t>
            </w:r>
          </w:p>
        </w:tc>
        <w:tc>
          <w:tcPr>
            <w:tcW w:w="2340" w:type="dxa"/>
            <w:vAlign w:val="center"/>
          </w:tcPr>
          <w:p w14:paraId="4A5BB35D" w14:textId="47E83056" w:rsidR="00E67A1F" w:rsidRPr="00D711A6" w:rsidRDefault="00E67A1F" w:rsidP="00802360">
            <w:pPr>
              <w:jc w:val="center"/>
              <w:rPr>
                <w:bCs/>
                <w:sz w:val="20"/>
                <w:szCs w:val="20"/>
              </w:rPr>
            </w:pPr>
            <w:r w:rsidRPr="00D711A6">
              <w:rPr>
                <w:bCs/>
                <w:sz w:val="20"/>
                <w:szCs w:val="20"/>
              </w:rPr>
              <w:t>Out of scope</w:t>
            </w:r>
          </w:p>
        </w:tc>
        <w:tc>
          <w:tcPr>
            <w:tcW w:w="2970" w:type="dxa"/>
          </w:tcPr>
          <w:p w14:paraId="3AFCD259" w14:textId="77777777" w:rsidR="00E67A1F" w:rsidRPr="00F6308E" w:rsidRDefault="00E67A1F" w:rsidP="00802360">
            <w:pPr>
              <w:pStyle w:val="Default"/>
              <w:rPr>
                <w:sz w:val="20"/>
                <w:szCs w:val="20"/>
              </w:rPr>
            </w:pPr>
            <w:r w:rsidRPr="00F6308E">
              <w:rPr>
                <w:sz w:val="20"/>
                <w:szCs w:val="20"/>
              </w:rPr>
              <w:t>Governed by NI 81-104.</w:t>
            </w:r>
          </w:p>
        </w:tc>
      </w:tr>
    </w:tbl>
    <w:p w14:paraId="7C0DFDFB" w14:textId="50FF09FD" w:rsidR="00896877" w:rsidRPr="008A38E7" w:rsidRDefault="00E33D98" w:rsidP="008A38E7">
      <w:pPr>
        <w:rPr>
          <w:sz w:val="2"/>
        </w:rPr>
      </w:pPr>
      <w:r>
        <w:rPr>
          <w:sz w:val="2"/>
          <w:szCs w:val="2"/>
        </w:rPr>
        <w:t>/</w:t>
      </w:r>
      <w:r w:rsidR="00D008DB">
        <w:rPr>
          <w:sz w:val="2"/>
          <w:szCs w:val="2"/>
        </w:rPr>
        <w:br w:type="textWrapping" w:clear="all"/>
      </w:r>
    </w:p>
    <w:sectPr w:rsidR="00896877" w:rsidRPr="008A38E7" w:rsidSect="0056173B">
      <w:headerReference w:type="default" r:id="rId13"/>
      <w:footerReference w:type="default" r:id="rId14"/>
      <w:pgSz w:w="12240" w:h="15840"/>
      <w:pgMar w:top="1328" w:right="990" w:bottom="720" w:left="360" w:header="706" w:footer="380" w:gutter="0"/>
      <w:pgNumType w:fmt="numberInDash"/>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C2E9" w14:textId="77777777" w:rsidR="00DB27BB" w:rsidRDefault="00DB27BB" w:rsidP="00DA6EA8">
      <w:pPr>
        <w:spacing w:line="240" w:lineRule="auto"/>
      </w:pPr>
      <w:r>
        <w:separator/>
      </w:r>
    </w:p>
    <w:p w14:paraId="13043B7D" w14:textId="77777777" w:rsidR="00DB27BB" w:rsidRDefault="00DB27BB"/>
  </w:endnote>
  <w:endnote w:type="continuationSeparator" w:id="0">
    <w:p w14:paraId="35CE9C9C" w14:textId="77777777" w:rsidR="00DB27BB" w:rsidRDefault="00DB27BB" w:rsidP="00DA6EA8">
      <w:pPr>
        <w:spacing w:line="240" w:lineRule="auto"/>
      </w:pPr>
      <w:r>
        <w:continuationSeparator/>
      </w:r>
    </w:p>
    <w:p w14:paraId="525ACBE9" w14:textId="77777777" w:rsidR="00DB27BB" w:rsidRDefault="00DB27BB"/>
  </w:endnote>
  <w:endnote w:type="continuationNotice" w:id="1">
    <w:p w14:paraId="3A7A698B" w14:textId="77777777" w:rsidR="00DB27BB" w:rsidRDefault="00DB27BB" w:rsidP="00DA6EA8">
      <w:pPr>
        <w:spacing w:line="240" w:lineRule="auto"/>
      </w:pPr>
    </w:p>
    <w:p w14:paraId="052FDC2F" w14:textId="77777777" w:rsidR="00DB27BB" w:rsidRDefault="00DB2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06896"/>
      <w:docPartObj>
        <w:docPartGallery w:val="Page Numbers (Bottom of Page)"/>
        <w:docPartUnique/>
      </w:docPartObj>
    </w:sdtPr>
    <w:sdtEndPr>
      <w:rPr>
        <w:noProof/>
      </w:rPr>
    </w:sdtEndPr>
    <w:sdtContent>
      <w:p w14:paraId="5043E03E" w14:textId="75CF4F46" w:rsidR="00866781" w:rsidRDefault="00866781" w:rsidP="008A38E7">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3A52" w14:textId="77777777" w:rsidR="00DB27BB" w:rsidRPr="008A38E7" w:rsidRDefault="00DB27BB" w:rsidP="00DA6EA8">
      <w:pPr>
        <w:spacing w:line="240" w:lineRule="auto"/>
      </w:pPr>
      <w:r>
        <w:separator/>
      </w:r>
    </w:p>
    <w:p w14:paraId="642E4CA1" w14:textId="77777777" w:rsidR="00DB27BB" w:rsidRDefault="00DB27BB"/>
  </w:footnote>
  <w:footnote w:type="continuationSeparator" w:id="0">
    <w:p w14:paraId="024A4177" w14:textId="77777777" w:rsidR="00DB27BB" w:rsidRDefault="00DB27BB" w:rsidP="00DA6EA8">
      <w:pPr>
        <w:spacing w:line="240" w:lineRule="auto"/>
      </w:pPr>
      <w:r>
        <w:continuationSeparator/>
      </w:r>
    </w:p>
    <w:p w14:paraId="75BE11C6" w14:textId="77777777" w:rsidR="00DB27BB" w:rsidRDefault="00DB27BB"/>
  </w:footnote>
  <w:footnote w:type="continuationNotice" w:id="1">
    <w:p w14:paraId="3FD7D926" w14:textId="77777777" w:rsidR="00DB27BB" w:rsidRDefault="00DB27BB" w:rsidP="00DA6EA8">
      <w:pPr>
        <w:spacing w:line="240" w:lineRule="auto"/>
      </w:pPr>
    </w:p>
    <w:p w14:paraId="56B2625E" w14:textId="77777777" w:rsidR="00DB27BB" w:rsidRDefault="00DB2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4648" w14:textId="3365ACCF" w:rsidR="00866781" w:rsidRPr="008A38E7" w:rsidRDefault="00866781" w:rsidP="008A38E7">
    <w:pPr>
      <w:pStyle w:val="Header"/>
      <w:jc w:val="right"/>
      <w:rPr>
        <w:b/>
        <w:color w:val="FF0000"/>
      </w:rPr>
    </w:pPr>
    <w:r w:rsidRPr="00D353D8">
      <w:rPr>
        <w:rFonts w:ascii="Arial" w:hAnsi="Arial" w:cs="Arial"/>
        <w:b/>
        <w:bCs/>
        <w:noProof/>
        <w:color w:val="FF0000"/>
        <w:sz w:val="20"/>
        <w:szCs w:val="20"/>
        <w:lang w:val="en-US"/>
      </w:rPr>
      <w:drawing>
        <wp:anchor distT="0" distB="0" distL="114300" distR="114300" simplePos="0" relativeHeight="251660288" behindDoc="0" locked="0" layoutInCell="1" allowOverlap="1" wp14:anchorId="00E8CA44" wp14:editId="7DA44A5F">
          <wp:simplePos x="0" y="0"/>
          <wp:positionH relativeFrom="column">
            <wp:posOffset>82992</wp:posOffset>
          </wp:positionH>
          <wp:positionV relativeFrom="paragraph">
            <wp:posOffset>-269240</wp:posOffset>
          </wp:positionV>
          <wp:extent cx="3429000" cy="584200"/>
          <wp:effectExtent l="0" t="0" r="0" b="6350"/>
          <wp:wrapNone/>
          <wp:docPr id="22" name="Picture 22"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BE63.B3F56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29000" cy="584200"/>
                  </a:xfrm>
                  <a:prstGeom prst="rect">
                    <a:avLst/>
                  </a:prstGeom>
                  <a:noFill/>
                  <a:ln>
                    <a:noFill/>
                  </a:ln>
                </pic:spPr>
              </pic:pic>
            </a:graphicData>
          </a:graphic>
        </wp:anchor>
      </w:drawing>
    </w:r>
    <w:r w:rsidR="00C06C2A">
      <w:rPr>
        <w:b/>
        <w:bCs/>
        <w:color w:val="FF0000"/>
      </w:rPr>
      <w:t>Subject to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10"/>
    <w:multiLevelType w:val="multilevel"/>
    <w:tmpl w:val="DD2458A8"/>
    <w:styleLink w:val="Styl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246E2A"/>
    <w:multiLevelType w:val="hybridMultilevel"/>
    <w:tmpl w:val="E7BC9DA4"/>
    <w:lvl w:ilvl="0" w:tplc="BE0A0624">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C74D7"/>
    <w:multiLevelType w:val="hybridMultilevel"/>
    <w:tmpl w:val="D7A67ACE"/>
    <w:lvl w:ilvl="0" w:tplc="155244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D95051"/>
    <w:multiLevelType w:val="multilevel"/>
    <w:tmpl w:val="3510085E"/>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260" w:hanging="180"/>
      </w:pPr>
    </w:lvl>
    <w:lvl w:ilvl="3">
      <w:start w:val="1"/>
      <w:numFmt w:val="decimal"/>
      <w:lvlText w:val="%4."/>
      <w:lvlJc w:val="left"/>
      <w:pPr>
        <w:ind w:left="14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E25418"/>
    <w:multiLevelType w:val="hybridMultilevel"/>
    <w:tmpl w:val="C3E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76173"/>
    <w:multiLevelType w:val="hybridMultilevel"/>
    <w:tmpl w:val="9D066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1B64F2"/>
    <w:multiLevelType w:val="hybridMultilevel"/>
    <w:tmpl w:val="CF9E9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9A40F89"/>
    <w:multiLevelType w:val="hybridMultilevel"/>
    <w:tmpl w:val="4656E240"/>
    <w:lvl w:ilvl="0" w:tplc="9DBCA130">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B3F5B"/>
    <w:multiLevelType w:val="hybridMultilevel"/>
    <w:tmpl w:val="2BE8B67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227296">
    <w:abstractNumId w:val="3"/>
  </w:num>
  <w:num w:numId="2" w16cid:durableId="1541281549">
    <w:abstractNumId w:val="0"/>
  </w:num>
  <w:num w:numId="3" w16cid:durableId="839389888">
    <w:abstractNumId w:val="6"/>
  </w:num>
  <w:num w:numId="4" w16cid:durableId="2061905620">
    <w:abstractNumId w:val="5"/>
  </w:num>
  <w:num w:numId="5" w16cid:durableId="844052219">
    <w:abstractNumId w:val="2"/>
  </w:num>
  <w:num w:numId="6" w16cid:durableId="145904233">
    <w:abstractNumId w:val="8"/>
  </w:num>
  <w:num w:numId="7" w16cid:durableId="1784879484">
    <w:abstractNumId w:val="4"/>
  </w:num>
  <w:num w:numId="8" w16cid:durableId="257762401">
    <w:abstractNumId w:val="7"/>
  </w:num>
  <w:num w:numId="9" w16cid:durableId="23116436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7A"/>
    <w:rsid w:val="00000084"/>
    <w:rsid w:val="00000E44"/>
    <w:rsid w:val="000252C7"/>
    <w:rsid w:val="00027DD2"/>
    <w:rsid w:val="00031649"/>
    <w:rsid w:val="000323ED"/>
    <w:rsid w:val="00052826"/>
    <w:rsid w:val="00056B1C"/>
    <w:rsid w:val="00087CCB"/>
    <w:rsid w:val="00095AB9"/>
    <w:rsid w:val="000A0713"/>
    <w:rsid w:val="000A567B"/>
    <w:rsid w:val="000B08F1"/>
    <w:rsid w:val="000B2ADA"/>
    <w:rsid w:val="000B589E"/>
    <w:rsid w:val="000C78BD"/>
    <w:rsid w:val="000D1C0D"/>
    <w:rsid w:val="000D4B11"/>
    <w:rsid w:val="000D7194"/>
    <w:rsid w:val="000E2C26"/>
    <w:rsid w:val="000F310A"/>
    <w:rsid w:val="00110556"/>
    <w:rsid w:val="00110E0A"/>
    <w:rsid w:val="00114827"/>
    <w:rsid w:val="00114C8F"/>
    <w:rsid w:val="00117D91"/>
    <w:rsid w:val="001225D5"/>
    <w:rsid w:val="00144B3D"/>
    <w:rsid w:val="00145221"/>
    <w:rsid w:val="00151A40"/>
    <w:rsid w:val="00152DD3"/>
    <w:rsid w:val="001609BE"/>
    <w:rsid w:val="001627E3"/>
    <w:rsid w:val="00167586"/>
    <w:rsid w:val="001715B4"/>
    <w:rsid w:val="00172695"/>
    <w:rsid w:val="00175208"/>
    <w:rsid w:val="00177981"/>
    <w:rsid w:val="00184443"/>
    <w:rsid w:val="00185C48"/>
    <w:rsid w:val="00194C9A"/>
    <w:rsid w:val="0019706A"/>
    <w:rsid w:val="001A1A1B"/>
    <w:rsid w:val="001A3822"/>
    <w:rsid w:val="001A5827"/>
    <w:rsid w:val="001A67CD"/>
    <w:rsid w:val="001B5B41"/>
    <w:rsid w:val="001B774A"/>
    <w:rsid w:val="001C1C50"/>
    <w:rsid w:val="001C1D08"/>
    <w:rsid w:val="001C1DAA"/>
    <w:rsid w:val="001C5048"/>
    <w:rsid w:val="001C603F"/>
    <w:rsid w:val="001C6C4A"/>
    <w:rsid w:val="001D660F"/>
    <w:rsid w:val="001D6D05"/>
    <w:rsid w:val="001D7E35"/>
    <w:rsid w:val="001E15E5"/>
    <w:rsid w:val="001E30BC"/>
    <w:rsid w:val="001E44BA"/>
    <w:rsid w:val="001F4AFA"/>
    <w:rsid w:val="001F7383"/>
    <w:rsid w:val="001F791D"/>
    <w:rsid w:val="00200009"/>
    <w:rsid w:val="00200C3C"/>
    <w:rsid w:val="002042FD"/>
    <w:rsid w:val="00205DA6"/>
    <w:rsid w:val="00207DA0"/>
    <w:rsid w:val="00214697"/>
    <w:rsid w:val="00217348"/>
    <w:rsid w:val="00224123"/>
    <w:rsid w:val="00224E56"/>
    <w:rsid w:val="00237D22"/>
    <w:rsid w:val="0024052F"/>
    <w:rsid w:val="0024178F"/>
    <w:rsid w:val="00255564"/>
    <w:rsid w:val="00261109"/>
    <w:rsid w:val="00264C3E"/>
    <w:rsid w:val="002655A6"/>
    <w:rsid w:val="00267FD0"/>
    <w:rsid w:val="002714E3"/>
    <w:rsid w:val="00273D9F"/>
    <w:rsid w:val="0027564D"/>
    <w:rsid w:val="00290481"/>
    <w:rsid w:val="00294FBE"/>
    <w:rsid w:val="00297397"/>
    <w:rsid w:val="002A581C"/>
    <w:rsid w:val="002A5F10"/>
    <w:rsid w:val="002B1D71"/>
    <w:rsid w:val="002B6D86"/>
    <w:rsid w:val="002D2D1A"/>
    <w:rsid w:val="002E3BF8"/>
    <w:rsid w:val="002E3DAD"/>
    <w:rsid w:val="002F093B"/>
    <w:rsid w:val="002F1E4C"/>
    <w:rsid w:val="002F2B6A"/>
    <w:rsid w:val="002F4561"/>
    <w:rsid w:val="00302F0E"/>
    <w:rsid w:val="0030708A"/>
    <w:rsid w:val="00316EE2"/>
    <w:rsid w:val="00327B5A"/>
    <w:rsid w:val="0033612F"/>
    <w:rsid w:val="003365EA"/>
    <w:rsid w:val="00353D02"/>
    <w:rsid w:val="00383B14"/>
    <w:rsid w:val="0039185F"/>
    <w:rsid w:val="003B26B6"/>
    <w:rsid w:val="003B42E1"/>
    <w:rsid w:val="003B52D4"/>
    <w:rsid w:val="003C444B"/>
    <w:rsid w:val="003C50FD"/>
    <w:rsid w:val="003C569A"/>
    <w:rsid w:val="003D00AA"/>
    <w:rsid w:val="003D1B91"/>
    <w:rsid w:val="003D3DA3"/>
    <w:rsid w:val="003D438B"/>
    <w:rsid w:val="003D7883"/>
    <w:rsid w:val="003E690D"/>
    <w:rsid w:val="003F6803"/>
    <w:rsid w:val="00402928"/>
    <w:rsid w:val="00403FC8"/>
    <w:rsid w:val="00410E11"/>
    <w:rsid w:val="004115E7"/>
    <w:rsid w:val="00424522"/>
    <w:rsid w:val="0042506D"/>
    <w:rsid w:val="00425A45"/>
    <w:rsid w:val="00425DC2"/>
    <w:rsid w:val="0043123F"/>
    <w:rsid w:val="0043689A"/>
    <w:rsid w:val="00454E0E"/>
    <w:rsid w:val="00457A70"/>
    <w:rsid w:val="00480850"/>
    <w:rsid w:val="00484779"/>
    <w:rsid w:val="00490541"/>
    <w:rsid w:val="00493648"/>
    <w:rsid w:val="00493FC7"/>
    <w:rsid w:val="004A12BC"/>
    <w:rsid w:val="004A6874"/>
    <w:rsid w:val="004B59AB"/>
    <w:rsid w:val="004C25DC"/>
    <w:rsid w:val="004C2D44"/>
    <w:rsid w:val="004E03AA"/>
    <w:rsid w:val="004E3B80"/>
    <w:rsid w:val="004E757F"/>
    <w:rsid w:val="004E787E"/>
    <w:rsid w:val="004F7012"/>
    <w:rsid w:val="00501250"/>
    <w:rsid w:val="0051370B"/>
    <w:rsid w:val="0052290A"/>
    <w:rsid w:val="00524AD7"/>
    <w:rsid w:val="005271B8"/>
    <w:rsid w:val="0054400E"/>
    <w:rsid w:val="00553F02"/>
    <w:rsid w:val="00555251"/>
    <w:rsid w:val="00555F5C"/>
    <w:rsid w:val="0055641C"/>
    <w:rsid w:val="00557172"/>
    <w:rsid w:val="0056173B"/>
    <w:rsid w:val="00561ECC"/>
    <w:rsid w:val="00593BDD"/>
    <w:rsid w:val="005946AA"/>
    <w:rsid w:val="005B1418"/>
    <w:rsid w:val="005B5827"/>
    <w:rsid w:val="005B7B24"/>
    <w:rsid w:val="005C161B"/>
    <w:rsid w:val="005C3A24"/>
    <w:rsid w:val="005C7A88"/>
    <w:rsid w:val="005D0ABD"/>
    <w:rsid w:val="005D567D"/>
    <w:rsid w:val="005E448D"/>
    <w:rsid w:val="005E521A"/>
    <w:rsid w:val="005E7942"/>
    <w:rsid w:val="005F10D2"/>
    <w:rsid w:val="005F5154"/>
    <w:rsid w:val="006052AA"/>
    <w:rsid w:val="00606EBC"/>
    <w:rsid w:val="00607ADE"/>
    <w:rsid w:val="00612671"/>
    <w:rsid w:val="006137AB"/>
    <w:rsid w:val="00621E11"/>
    <w:rsid w:val="00624996"/>
    <w:rsid w:val="00637301"/>
    <w:rsid w:val="00641022"/>
    <w:rsid w:val="0064153F"/>
    <w:rsid w:val="0065091C"/>
    <w:rsid w:val="00653FD3"/>
    <w:rsid w:val="00656371"/>
    <w:rsid w:val="0066535E"/>
    <w:rsid w:val="00666C40"/>
    <w:rsid w:val="0068279E"/>
    <w:rsid w:val="00682DF8"/>
    <w:rsid w:val="0068530F"/>
    <w:rsid w:val="00691F3F"/>
    <w:rsid w:val="006948C8"/>
    <w:rsid w:val="0069526D"/>
    <w:rsid w:val="00695FC9"/>
    <w:rsid w:val="006B4885"/>
    <w:rsid w:val="006B6E96"/>
    <w:rsid w:val="006B787C"/>
    <w:rsid w:val="006D6C2C"/>
    <w:rsid w:val="006E01D0"/>
    <w:rsid w:val="006E1C87"/>
    <w:rsid w:val="006E2961"/>
    <w:rsid w:val="006E74B9"/>
    <w:rsid w:val="006F18C8"/>
    <w:rsid w:val="007044A7"/>
    <w:rsid w:val="00706622"/>
    <w:rsid w:val="007144A7"/>
    <w:rsid w:val="007160B9"/>
    <w:rsid w:val="00716159"/>
    <w:rsid w:val="0072124F"/>
    <w:rsid w:val="007244CE"/>
    <w:rsid w:val="00725DB4"/>
    <w:rsid w:val="007355B4"/>
    <w:rsid w:val="00751D30"/>
    <w:rsid w:val="0075377B"/>
    <w:rsid w:val="00754755"/>
    <w:rsid w:val="00760184"/>
    <w:rsid w:val="00775BD9"/>
    <w:rsid w:val="00780EA9"/>
    <w:rsid w:val="00794186"/>
    <w:rsid w:val="00794D65"/>
    <w:rsid w:val="00795DF9"/>
    <w:rsid w:val="007A2217"/>
    <w:rsid w:val="007A7B36"/>
    <w:rsid w:val="007B6A82"/>
    <w:rsid w:val="007C2521"/>
    <w:rsid w:val="007C39B1"/>
    <w:rsid w:val="007C4DD6"/>
    <w:rsid w:val="007D327D"/>
    <w:rsid w:val="007D5EA5"/>
    <w:rsid w:val="007E1394"/>
    <w:rsid w:val="007E27EB"/>
    <w:rsid w:val="007E2BE6"/>
    <w:rsid w:val="007E6114"/>
    <w:rsid w:val="007F678C"/>
    <w:rsid w:val="007F6FF8"/>
    <w:rsid w:val="00802360"/>
    <w:rsid w:val="00802EB0"/>
    <w:rsid w:val="00811D45"/>
    <w:rsid w:val="008164E8"/>
    <w:rsid w:val="00831399"/>
    <w:rsid w:val="008358C2"/>
    <w:rsid w:val="0084105F"/>
    <w:rsid w:val="00842607"/>
    <w:rsid w:val="008464A3"/>
    <w:rsid w:val="008531F6"/>
    <w:rsid w:val="008556B5"/>
    <w:rsid w:val="00863B5C"/>
    <w:rsid w:val="00866781"/>
    <w:rsid w:val="008726BC"/>
    <w:rsid w:val="008739FD"/>
    <w:rsid w:val="008778C8"/>
    <w:rsid w:val="00886DF8"/>
    <w:rsid w:val="00890A94"/>
    <w:rsid w:val="008918A5"/>
    <w:rsid w:val="008961CA"/>
    <w:rsid w:val="00896877"/>
    <w:rsid w:val="008A147A"/>
    <w:rsid w:val="008A1C8A"/>
    <w:rsid w:val="008A3036"/>
    <w:rsid w:val="008A38E7"/>
    <w:rsid w:val="008B3F9A"/>
    <w:rsid w:val="008B5576"/>
    <w:rsid w:val="008B62D4"/>
    <w:rsid w:val="008C02A4"/>
    <w:rsid w:val="008C1A5C"/>
    <w:rsid w:val="008C1DEE"/>
    <w:rsid w:val="008C288D"/>
    <w:rsid w:val="008C448F"/>
    <w:rsid w:val="008C5821"/>
    <w:rsid w:val="008D43B2"/>
    <w:rsid w:val="008F3F22"/>
    <w:rsid w:val="008F5B92"/>
    <w:rsid w:val="008F79DE"/>
    <w:rsid w:val="00906563"/>
    <w:rsid w:val="00913987"/>
    <w:rsid w:val="00915F2F"/>
    <w:rsid w:val="009218E1"/>
    <w:rsid w:val="009223B5"/>
    <w:rsid w:val="00923598"/>
    <w:rsid w:val="0092553E"/>
    <w:rsid w:val="009258DA"/>
    <w:rsid w:val="00927E86"/>
    <w:rsid w:val="00931CF3"/>
    <w:rsid w:val="009346ED"/>
    <w:rsid w:val="00941619"/>
    <w:rsid w:val="009522FC"/>
    <w:rsid w:val="00960C45"/>
    <w:rsid w:val="00965080"/>
    <w:rsid w:val="0096721C"/>
    <w:rsid w:val="009705B0"/>
    <w:rsid w:val="00976AD7"/>
    <w:rsid w:val="009823AA"/>
    <w:rsid w:val="00987292"/>
    <w:rsid w:val="009B30EE"/>
    <w:rsid w:val="009C0782"/>
    <w:rsid w:val="009C7CE6"/>
    <w:rsid w:val="009D1E9C"/>
    <w:rsid w:val="009E19DA"/>
    <w:rsid w:val="009E1AEA"/>
    <w:rsid w:val="009E1D54"/>
    <w:rsid w:val="009E5414"/>
    <w:rsid w:val="00A0048F"/>
    <w:rsid w:val="00A05D80"/>
    <w:rsid w:val="00A07B92"/>
    <w:rsid w:val="00A2560A"/>
    <w:rsid w:val="00A2565D"/>
    <w:rsid w:val="00A37351"/>
    <w:rsid w:val="00A538DD"/>
    <w:rsid w:val="00A62D90"/>
    <w:rsid w:val="00A7669C"/>
    <w:rsid w:val="00A80004"/>
    <w:rsid w:val="00A80C81"/>
    <w:rsid w:val="00A93EE4"/>
    <w:rsid w:val="00A95C9E"/>
    <w:rsid w:val="00AB09C5"/>
    <w:rsid w:val="00AB1B00"/>
    <w:rsid w:val="00AB6594"/>
    <w:rsid w:val="00AC70A2"/>
    <w:rsid w:val="00AD1E0E"/>
    <w:rsid w:val="00AD4C4D"/>
    <w:rsid w:val="00AE10D9"/>
    <w:rsid w:val="00AE3CD3"/>
    <w:rsid w:val="00AE611D"/>
    <w:rsid w:val="00AE6CB3"/>
    <w:rsid w:val="00AE6D2A"/>
    <w:rsid w:val="00AF7F5B"/>
    <w:rsid w:val="00B13731"/>
    <w:rsid w:val="00B1467C"/>
    <w:rsid w:val="00B20407"/>
    <w:rsid w:val="00B212C9"/>
    <w:rsid w:val="00B312B8"/>
    <w:rsid w:val="00B4331B"/>
    <w:rsid w:val="00B4521B"/>
    <w:rsid w:val="00B5291B"/>
    <w:rsid w:val="00B56210"/>
    <w:rsid w:val="00B65CB6"/>
    <w:rsid w:val="00B70A6E"/>
    <w:rsid w:val="00B71195"/>
    <w:rsid w:val="00B81FA3"/>
    <w:rsid w:val="00B843E6"/>
    <w:rsid w:val="00B86F6E"/>
    <w:rsid w:val="00B86FD5"/>
    <w:rsid w:val="00B8719A"/>
    <w:rsid w:val="00BA0449"/>
    <w:rsid w:val="00BA1BC6"/>
    <w:rsid w:val="00BA2FC2"/>
    <w:rsid w:val="00BA5469"/>
    <w:rsid w:val="00BC1C4A"/>
    <w:rsid w:val="00BD6E44"/>
    <w:rsid w:val="00BF5660"/>
    <w:rsid w:val="00C06C2A"/>
    <w:rsid w:val="00C10A35"/>
    <w:rsid w:val="00C11B7C"/>
    <w:rsid w:val="00C12F29"/>
    <w:rsid w:val="00C2601C"/>
    <w:rsid w:val="00C34D00"/>
    <w:rsid w:val="00C35E9A"/>
    <w:rsid w:val="00C41888"/>
    <w:rsid w:val="00C4445D"/>
    <w:rsid w:val="00C51A15"/>
    <w:rsid w:val="00C52490"/>
    <w:rsid w:val="00C7072D"/>
    <w:rsid w:val="00C70950"/>
    <w:rsid w:val="00C75A43"/>
    <w:rsid w:val="00C86D2C"/>
    <w:rsid w:val="00C905DD"/>
    <w:rsid w:val="00C90735"/>
    <w:rsid w:val="00C91C82"/>
    <w:rsid w:val="00CA191F"/>
    <w:rsid w:val="00CA1CE5"/>
    <w:rsid w:val="00CA5CDE"/>
    <w:rsid w:val="00CA5F7A"/>
    <w:rsid w:val="00CB4E09"/>
    <w:rsid w:val="00CB7246"/>
    <w:rsid w:val="00CC6EE5"/>
    <w:rsid w:val="00CD3A4D"/>
    <w:rsid w:val="00CD68F7"/>
    <w:rsid w:val="00CE1679"/>
    <w:rsid w:val="00CE39A2"/>
    <w:rsid w:val="00CE6BD9"/>
    <w:rsid w:val="00CE6DF9"/>
    <w:rsid w:val="00CE76A6"/>
    <w:rsid w:val="00CE792C"/>
    <w:rsid w:val="00CF176E"/>
    <w:rsid w:val="00CF5347"/>
    <w:rsid w:val="00D008DB"/>
    <w:rsid w:val="00D05BAA"/>
    <w:rsid w:val="00D12C7B"/>
    <w:rsid w:val="00D15A07"/>
    <w:rsid w:val="00D2147F"/>
    <w:rsid w:val="00D23A88"/>
    <w:rsid w:val="00D25C26"/>
    <w:rsid w:val="00D319E8"/>
    <w:rsid w:val="00D34C96"/>
    <w:rsid w:val="00D36807"/>
    <w:rsid w:val="00D430D1"/>
    <w:rsid w:val="00D47157"/>
    <w:rsid w:val="00D52D21"/>
    <w:rsid w:val="00D571BF"/>
    <w:rsid w:val="00D61470"/>
    <w:rsid w:val="00D620A7"/>
    <w:rsid w:val="00D635C8"/>
    <w:rsid w:val="00D6404B"/>
    <w:rsid w:val="00D641AB"/>
    <w:rsid w:val="00D711A6"/>
    <w:rsid w:val="00D7374E"/>
    <w:rsid w:val="00D75EFE"/>
    <w:rsid w:val="00D851CD"/>
    <w:rsid w:val="00D9121B"/>
    <w:rsid w:val="00D9211C"/>
    <w:rsid w:val="00D933D0"/>
    <w:rsid w:val="00D93444"/>
    <w:rsid w:val="00DA30B1"/>
    <w:rsid w:val="00DA334F"/>
    <w:rsid w:val="00DA6EA8"/>
    <w:rsid w:val="00DB27BB"/>
    <w:rsid w:val="00DB289D"/>
    <w:rsid w:val="00DB4638"/>
    <w:rsid w:val="00DB5CA8"/>
    <w:rsid w:val="00DC4205"/>
    <w:rsid w:val="00DE40C9"/>
    <w:rsid w:val="00DE7F07"/>
    <w:rsid w:val="00DF00FD"/>
    <w:rsid w:val="00DF0916"/>
    <w:rsid w:val="00DF645F"/>
    <w:rsid w:val="00E0076C"/>
    <w:rsid w:val="00E12373"/>
    <w:rsid w:val="00E13399"/>
    <w:rsid w:val="00E17548"/>
    <w:rsid w:val="00E2122B"/>
    <w:rsid w:val="00E231B2"/>
    <w:rsid w:val="00E25234"/>
    <w:rsid w:val="00E27CCC"/>
    <w:rsid w:val="00E31C6C"/>
    <w:rsid w:val="00E33D98"/>
    <w:rsid w:val="00E37F18"/>
    <w:rsid w:val="00E42586"/>
    <w:rsid w:val="00E47CD2"/>
    <w:rsid w:val="00E50EF5"/>
    <w:rsid w:val="00E5176E"/>
    <w:rsid w:val="00E53538"/>
    <w:rsid w:val="00E57362"/>
    <w:rsid w:val="00E65A24"/>
    <w:rsid w:val="00E67A1F"/>
    <w:rsid w:val="00E704A8"/>
    <w:rsid w:val="00E715CF"/>
    <w:rsid w:val="00E739E2"/>
    <w:rsid w:val="00E7637B"/>
    <w:rsid w:val="00E905FE"/>
    <w:rsid w:val="00E937F6"/>
    <w:rsid w:val="00E957F4"/>
    <w:rsid w:val="00E96C03"/>
    <w:rsid w:val="00E97365"/>
    <w:rsid w:val="00E97937"/>
    <w:rsid w:val="00EA4085"/>
    <w:rsid w:val="00EA5CB4"/>
    <w:rsid w:val="00EB1F9D"/>
    <w:rsid w:val="00EB329F"/>
    <w:rsid w:val="00EC07CD"/>
    <w:rsid w:val="00EC297A"/>
    <w:rsid w:val="00EC3CC8"/>
    <w:rsid w:val="00EC7057"/>
    <w:rsid w:val="00ED464E"/>
    <w:rsid w:val="00ED6340"/>
    <w:rsid w:val="00EE2855"/>
    <w:rsid w:val="00EF0B15"/>
    <w:rsid w:val="00F00232"/>
    <w:rsid w:val="00F0541B"/>
    <w:rsid w:val="00F12CE3"/>
    <w:rsid w:val="00F13982"/>
    <w:rsid w:val="00F1676D"/>
    <w:rsid w:val="00F1747C"/>
    <w:rsid w:val="00F20C2F"/>
    <w:rsid w:val="00F31A9A"/>
    <w:rsid w:val="00F42C82"/>
    <w:rsid w:val="00F46FA3"/>
    <w:rsid w:val="00F564CF"/>
    <w:rsid w:val="00F6113E"/>
    <w:rsid w:val="00F624C3"/>
    <w:rsid w:val="00F62EA3"/>
    <w:rsid w:val="00F71C44"/>
    <w:rsid w:val="00F72133"/>
    <w:rsid w:val="00F8082D"/>
    <w:rsid w:val="00F84A56"/>
    <w:rsid w:val="00F917FD"/>
    <w:rsid w:val="00F91D53"/>
    <w:rsid w:val="00F937D4"/>
    <w:rsid w:val="00FB2E02"/>
    <w:rsid w:val="00FB428E"/>
    <w:rsid w:val="00FC1CAB"/>
    <w:rsid w:val="00FC29FA"/>
    <w:rsid w:val="00FC485F"/>
    <w:rsid w:val="00FC66C0"/>
    <w:rsid w:val="00FD0242"/>
    <w:rsid w:val="00FD3FA4"/>
    <w:rsid w:val="00FD54EA"/>
    <w:rsid w:val="00FF21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69A0A4"/>
  <w15:docId w15:val="{46A8D6BD-09A0-43B6-B531-781523C5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DF8"/>
    <w:pPr>
      <w:keepNext/>
      <w:keepLines/>
      <w:spacing w:before="480"/>
      <w:outlineLvl w:val="0"/>
    </w:pPr>
    <w:rPr>
      <w:rFonts w:asciiTheme="majorHAnsi" w:eastAsiaTheme="majorEastAsia" w:hAnsiTheme="majorHAnsi" w:cstheme="majorBidi"/>
      <w:b/>
      <w:bCs/>
      <w:color w:val="2E74B5" w:themeColor="accent1" w:themeShade="BF"/>
      <w:sz w:val="36"/>
      <w:szCs w:val="28"/>
    </w:rPr>
  </w:style>
  <w:style w:type="paragraph" w:styleId="Heading2">
    <w:name w:val="heading 2"/>
    <w:basedOn w:val="Normal"/>
    <w:next w:val="Normal"/>
    <w:link w:val="Heading2Char"/>
    <w:uiPriority w:val="9"/>
    <w:unhideWhenUsed/>
    <w:qFormat/>
    <w:rsid w:val="00682DF8"/>
    <w:pPr>
      <w:keepNext/>
      <w:keepLines/>
      <w:spacing w:before="20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unhideWhenUsed/>
    <w:qFormat/>
    <w:rsid w:val="00682DF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B52D4"/>
    <w:pPr>
      <w:numPr>
        <w:numId w:val="1"/>
      </w:numPr>
    </w:pPr>
  </w:style>
  <w:style w:type="numbering" w:customStyle="1" w:styleId="Style2">
    <w:name w:val="Style2"/>
    <w:uiPriority w:val="99"/>
    <w:rsid w:val="000A0713"/>
    <w:pPr>
      <w:numPr>
        <w:numId w:val="2"/>
      </w:numPr>
    </w:pPr>
  </w:style>
  <w:style w:type="table" w:styleId="TableGrid">
    <w:name w:val="Table Grid"/>
    <w:basedOn w:val="TableNormal"/>
    <w:uiPriority w:val="39"/>
    <w:rsid w:val="008A14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7CD"/>
    <w:pPr>
      <w:ind w:left="720"/>
      <w:contextualSpacing/>
    </w:pPr>
  </w:style>
  <w:style w:type="paragraph" w:customStyle="1" w:styleId="Default">
    <w:name w:val="Default"/>
    <w:rsid w:val="00C86D2C"/>
    <w:pPr>
      <w:autoSpaceDE w:val="0"/>
      <w:autoSpaceDN w:val="0"/>
      <w:adjustRightInd w:val="0"/>
      <w:spacing w:line="240" w:lineRule="auto"/>
    </w:pPr>
    <w:rPr>
      <w:rFonts w:cs="Calibri"/>
      <w:color w:val="000000"/>
      <w:sz w:val="24"/>
      <w:szCs w:val="24"/>
    </w:rPr>
  </w:style>
  <w:style w:type="paragraph" w:styleId="Header">
    <w:name w:val="header"/>
    <w:basedOn w:val="Normal"/>
    <w:link w:val="HeaderChar"/>
    <w:uiPriority w:val="99"/>
    <w:unhideWhenUsed/>
    <w:rsid w:val="00C86D2C"/>
    <w:pPr>
      <w:tabs>
        <w:tab w:val="center" w:pos="4680"/>
        <w:tab w:val="right" w:pos="9360"/>
      </w:tabs>
      <w:spacing w:line="240" w:lineRule="auto"/>
    </w:pPr>
  </w:style>
  <w:style w:type="character" w:customStyle="1" w:styleId="HeaderChar">
    <w:name w:val="Header Char"/>
    <w:basedOn w:val="DefaultParagraphFont"/>
    <w:link w:val="Header"/>
    <w:uiPriority w:val="99"/>
    <w:rsid w:val="00C86D2C"/>
  </w:style>
  <w:style w:type="paragraph" w:styleId="Footer">
    <w:name w:val="footer"/>
    <w:basedOn w:val="Normal"/>
    <w:link w:val="FooterChar"/>
    <w:uiPriority w:val="99"/>
    <w:unhideWhenUsed/>
    <w:rsid w:val="00C86D2C"/>
    <w:pPr>
      <w:tabs>
        <w:tab w:val="center" w:pos="4680"/>
        <w:tab w:val="right" w:pos="9360"/>
      </w:tabs>
      <w:spacing w:line="240" w:lineRule="auto"/>
    </w:pPr>
  </w:style>
  <w:style w:type="character" w:customStyle="1" w:styleId="FooterChar">
    <w:name w:val="Footer Char"/>
    <w:basedOn w:val="DefaultParagraphFont"/>
    <w:link w:val="Footer"/>
    <w:uiPriority w:val="99"/>
    <w:rsid w:val="00C86D2C"/>
  </w:style>
  <w:style w:type="character" w:customStyle="1" w:styleId="Heading1Char">
    <w:name w:val="Heading 1 Char"/>
    <w:basedOn w:val="DefaultParagraphFont"/>
    <w:link w:val="Heading1"/>
    <w:uiPriority w:val="9"/>
    <w:rsid w:val="00682DF8"/>
    <w:rPr>
      <w:rFonts w:asciiTheme="majorHAnsi" w:eastAsiaTheme="majorEastAsia" w:hAnsiTheme="majorHAnsi" w:cstheme="majorBidi"/>
      <w:b/>
      <w:bCs/>
      <w:color w:val="2E74B5" w:themeColor="accent1" w:themeShade="BF"/>
      <w:sz w:val="36"/>
      <w:szCs w:val="28"/>
    </w:rPr>
  </w:style>
  <w:style w:type="character" w:customStyle="1" w:styleId="Heading2Char">
    <w:name w:val="Heading 2 Char"/>
    <w:basedOn w:val="DefaultParagraphFont"/>
    <w:link w:val="Heading2"/>
    <w:uiPriority w:val="9"/>
    <w:rsid w:val="00682DF8"/>
    <w:rPr>
      <w:rFonts w:asciiTheme="majorHAnsi" w:eastAsiaTheme="majorEastAsia" w:hAnsiTheme="majorHAnsi" w:cstheme="majorBidi"/>
      <w:b/>
      <w:bCs/>
      <w:color w:val="5B9BD5" w:themeColor="accent1"/>
      <w:szCs w:val="26"/>
    </w:rPr>
  </w:style>
  <w:style w:type="character" w:customStyle="1" w:styleId="Heading3Char">
    <w:name w:val="Heading 3 Char"/>
    <w:basedOn w:val="DefaultParagraphFont"/>
    <w:link w:val="Heading3"/>
    <w:uiPriority w:val="9"/>
    <w:rsid w:val="00682DF8"/>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F917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7FD"/>
    <w:rPr>
      <w:rFonts w:ascii="Tahoma" w:hAnsi="Tahoma" w:cs="Tahoma"/>
      <w:sz w:val="16"/>
      <w:szCs w:val="16"/>
    </w:rPr>
  </w:style>
  <w:style w:type="character" w:styleId="Hyperlink">
    <w:name w:val="Hyperlink"/>
    <w:basedOn w:val="DefaultParagraphFont"/>
    <w:uiPriority w:val="99"/>
    <w:unhideWhenUsed/>
    <w:rsid w:val="00DA30B1"/>
    <w:rPr>
      <w:color w:val="0563C1" w:themeColor="hyperlink"/>
      <w:u w:val="single"/>
    </w:rPr>
  </w:style>
  <w:style w:type="character" w:customStyle="1" w:styleId="highlight">
    <w:name w:val="highlight"/>
    <w:basedOn w:val="DefaultParagraphFont"/>
    <w:rsid w:val="00F62EA3"/>
  </w:style>
  <w:style w:type="character" w:customStyle="1" w:styleId="acpxkynzsg">
    <w:name w:val="acpxkynzsg"/>
    <w:basedOn w:val="DefaultParagraphFont"/>
    <w:rsid w:val="00D008DB"/>
  </w:style>
  <w:style w:type="paragraph" w:styleId="FootnoteText">
    <w:name w:val="footnote text"/>
    <w:basedOn w:val="Normal"/>
    <w:link w:val="FootnoteTextChar"/>
    <w:uiPriority w:val="99"/>
    <w:semiHidden/>
    <w:unhideWhenUsed/>
    <w:rsid w:val="00D008D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008DB"/>
    <w:rPr>
      <w:rFonts w:asciiTheme="minorHAnsi" w:hAnsiTheme="minorHAnsi"/>
      <w:sz w:val="20"/>
      <w:szCs w:val="20"/>
    </w:rPr>
  </w:style>
  <w:style w:type="character" w:styleId="FootnoteReference">
    <w:name w:val="footnote reference"/>
    <w:basedOn w:val="DefaultParagraphFont"/>
    <w:uiPriority w:val="99"/>
    <w:semiHidden/>
    <w:unhideWhenUsed/>
    <w:rsid w:val="00D008DB"/>
    <w:rPr>
      <w:vertAlign w:val="superscript"/>
    </w:rPr>
  </w:style>
  <w:style w:type="character" w:styleId="Mention">
    <w:name w:val="Mention"/>
    <w:basedOn w:val="DefaultParagraphFont"/>
    <w:uiPriority w:val="99"/>
    <w:semiHidden/>
    <w:unhideWhenUsed/>
    <w:rsid w:val="00D05BAA"/>
    <w:rPr>
      <w:color w:val="2B579A"/>
      <w:shd w:val="clear" w:color="auto" w:fill="E6E6E6"/>
    </w:rPr>
  </w:style>
  <w:style w:type="paragraph" w:styleId="NormalWeb">
    <w:name w:val="Normal (Web)"/>
    <w:basedOn w:val="Normal"/>
    <w:uiPriority w:val="99"/>
    <w:unhideWhenUsed/>
    <w:rsid w:val="005B7B24"/>
    <w:pPr>
      <w:spacing w:before="100" w:beforeAutospacing="1" w:after="100" w:afterAutospacing="1" w:line="240" w:lineRule="auto"/>
    </w:pPr>
    <w:rPr>
      <w:rFonts w:cs="Calibri"/>
      <w:sz w:val="22"/>
      <w:lang w:val="en-US"/>
    </w:rPr>
  </w:style>
  <w:style w:type="character" w:styleId="FollowedHyperlink">
    <w:name w:val="FollowedHyperlink"/>
    <w:basedOn w:val="DefaultParagraphFont"/>
    <w:uiPriority w:val="99"/>
    <w:semiHidden/>
    <w:unhideWhenUsed/>
    <w:rsid w:val="001E15E5"/>
    <w:rPr>
      <w:color w:val="954F72" w:themeColor="followedHyperlink"/>
      <w:u w:val="single"/>
    </w:rPr>
  </w:style>
  <w:style w:type="paragraph" w:styleId="Revision">
    <w:name w:val="Revision"/>
    <w:hidden/>
    <w:uiPriority w:val="99"/>
    <w:semiHidden/>
    <w:rsid w:val="00501250"/>
    <w:pPr>
      <w:spacing w:line="240" w:lineRule="auto"/>
    </w:pPr>
  </w:style>
  <w:style w:type="character" w:styleId="UnresolvedMention">
    <w:name w:val="Unresolved Mention"/>
    <w:basedOn w:val="DefaultParagraphFont"/>
    <w:uiPriority w:val="99"/>
    <w:semiHidden/>
    <w:unhideWhenUsed/>
    <w:rsid w:val="00FD0242"/>
    <w:rPr>
      <w:color w:val="605E5C"/>
      <w:shd w:val="clear" w:color="auto" w:fill="E1DFDD"/>
    </w:rPr>
  </w:style>
  <w:style w:type="character" w:styleId="CommentReference">
    <w:name w:val="annotation reference"/>
    <w:basedOn w:val="DefaultParagraphFont"/>
    <w:uiPriority w:val="99"/>
    <w:semiHidden/>
    <w:unhideWhenUsed/>
    <w:rsid w:val="00D711A6"/>
    <w:rPr>
      <w:sz w:val="16"/>
      <w:szCs w:val="16"/>
    </w:rPr>
  </w:style>
  <w:style w:type="paragraph" w:styleId="CommentText">
    <w:name w:val="annotation text"/>
    <w:basedOn w:val="Normal"/>
    <w:link w:val="CommentTextChar"/>
    <w:uiPriority w:val="99"/>
    <w:unhideWhenUsed/>
    <w:rsid w:val="00D711A6"/>
    <w:pPr>
      <w:spacing w:line="240" w:lineRule="auto"/>
    </w:pPr>
    <w:rPr>
      <w:sz w:val="20"/>
      <w:szCs w:val="20"/>
    </w:rPr>
  </w:style>
  <w:style w:type="character" w:customStyle="1" w:styleId="CommentTextChar">
    <w:name w:val="Comment Text Char"/>
    <w:basedOn w:val="DefaultParagraphFont"/>
    <w:link w:val="CommentText"/>
    <w:uiPriority w:val="99"/>
    <w:rsid w:val="00D711A6"/>
    <w:rPr>
      <w:sz w:val="20"/>
      <w:szCs w:val="20"/>
    </w:rPr>
  </w:style>
  <w:style w:type="paragraph" w:styleId="CommentSubject">
    <w:name w:val="annotation subject"/>
    <w:basedOn w:val="CommentText"/>
    <w:next w:val="CommentText"/>
    <w:link w:val="CommentSubjectChar"/>
    <w:uiPriority w:val="99"/>
    <w:semiHidden/>
    <w:unhideWhenUsed/>
    <w:rsid w:val="00D711A6"/>
    <w:rPr>
      <w:b/>
      <w:bCs/>
    </w:rPr>
  </w:style>
  <w:style w:type="character" w:customStyle="1" w:styleId="CommentSubjectChar">
    <w:name w:val="Comment Subject Char"/>
    <w:basedOn w:val="CommentTextChar"/>
    <w:link w:val="CommentSubject"/>
    <w:uiPriority w:val="99"/>
    <w:semiHidden/>
    <w:rsid w:val="00D71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9145">
      <w:bodyDiv w:val="1"/>
      <w:marLeft w:val="0"/>
      <w:marRight w:val="0"/>
      <w:marTop w:val="0"/>
      <w:marBottom w:val="0"/>
      <w:divBdr>
        <w:top w:val="none" w:sz="0" w:space="0" w:color="auto"/>
        <w:left w:val="none" w:sz="0" w:space="0" w:color="auto"/>
        <w:bottom w:val="none" w:sz="0" w:space="0" w:color="auto"/>
        <w:right w:val="none" w:sz="0" w:space="0" w:color="auto"/>
      </w:divBdr>
    </w:div>
    <w:div w:id="335696933">
      <w:bodyDiv w:val="1"/>
      <w:marLeft w:val="0"/>
      <w:marRight w:val="0"/>
      <w:marTop w:val="0"/>
      <w:marBottom w:val="0"/>
      <w:divBdr>
        <w:top w:val="none" w:sz="0" w:space="0" w:color="auto"/>
        <w:left w:val="none" w:sz="0" w:space="0" w:color="auto"/>
        <w:bottom w:val="none" w:sz="0" w:space="0" w:color="auto"/>
        <w:right w:val="none" w:sz="0" w:space="0" w:color="auto"/>
      </w:divBdr>
      <w:divsChild>
        <w:div w:id="784615319">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923835252">
              <w:marLeft w:val="0"/>
              <w:marRight w:val="0"/>
              <w:marTop w:val="0"/>
              <w:marBottom w:val="0"/>
              <w:divBdr>
                <w:top w:val="none" w:sz="0" w:space="0" w:color="auto"/>
                <w:left w:val="none" w:sz="0" w:space="0" w:color="auto"/>
                <w:bottom w:val="none" w:sz="0" w:space="0" w:color="auto"/>
                <w:right w:val="none" w:sz="0" w:space="0" w:color="auto"/>
              </w:divBdr>
              <w:divsChild>
                <w:div w:id="1807775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6860542">
                      <w:marLeft w:val="0"/>
                      <w:marRight w:val="0"/>
                      <w:marTop w:val="0"/>
                      <w:marBottom w:val="0"/>
                      <w:divBdr>
                        <w:top w:val="none" w:sz="0" w:space="0" w:color="auto"/>
                        <w:left w:val="none" w:sz="0" w:space="0" w:color="auto"/>
                        <w:bottom w:val="none" w:sz="0" w:space="0" w:color="auto"/>
                        <w:right w:val="none" w:sz="0" w:space="0" w:color="auto"/>
                      </w:divBdr>
                      <w:divsChild>
                        <w:div w:id="18639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999325">
      <w:bodyDiv w:val="1"/>
      <w:marLeft w:val="0"/>
      <w:marRight w:val="0"/>
      <w:marTop w:val="0"/>
      <w:marBottom w:val="0"/>
      <w:divBdr>
        <w:top w:val="none" w:sz="0" w:space="0" w:color="auto"/>
        <w:left w:val="none" w:sz="0" w:space="0" w:color="auto"/>
        <w:bottom w:val="none" w:sz="0" w:space="0" w:color="auto"/>
        <w:right w:val="none" w:sz="0" w:space="0" w:color="auto"/>
      </w:divBdr>
      <w:divsChild>
        <w:div w:id="1203176670">
          <w:marLeft w:val="0"/>
          <w:marRight w:val="0"/>
          <w:marTop w:val="0"/>
          <w:marBottom w:val="0"/>
          <w:divBdr>
            <w:top w:val="none" w:sz="0" w:space="0" w:color="auto"/>
            <w:left w:val="none" w:sz="0" w:space="0" w:color="auto"/>
            <w:bottom w:val="none" w:sz="0" w:space="0" w:color="auto"/>
            <w:right w:val="none" w:sz="0" w:space="0" w:color="auto"/>
          </w:divBdr>
        </w:div>
        <w:div w:id="1073314950">
          <w:marLeft w:val="0"/>
          <w:marRight w:val="0"/>
          <w:marTop w:val="0"/>
          <w:marBottom w:val="0"/>
          <w:divBdr>
            <w:top w:val="none" w:sz="0" w:space="0" w:color="auto"/>
            <w:left w:val="none" w:sz="0" w:space="0" w:color="auto"/>
            <w:bottom w:val="none" w:sz="0" w:space="0" w:color="auto"/>
            <w:right w:val="none" w:sz="0" w:space="0" w:color="auto"/>
          </w:divBdr>
        </w:div>
        <w:div w:id="1529030180">
          <w:marLeft w:val="0"/>
          <w:marRight w:val="0"/>
          <w:marTop w:val="0"/>
          <w:marBottom w:val="0"/>
          <w:divBdr>
            <w:top w:val="none" w:sz="0" w:space="0" w:color="auto"/>
            <w:left w:val="none" w:sz="0" w:space="0" w:color="auto"/>
            <w:bottom w:val="none" w:sz="0" w:space="0" w:color="auto"/>
            <w:right w:val="none" w:sz="0" w:space="0" w:color="auto"/>
          </w:divBdr>
        </w:div>
        <w:div w:id="1053039541">
          <w:marLeft w:val="0"/>
          <w:marRight w:val="0"/>
          <w:marTop w:val="0"/>
          <w:marBottom w:val="0"/>
          <w:divBdr>
            <w:top w:val="none" w:sz="0" w:space="0" w:color="auto"/>
            <w:left w:val="none" w:sz="0" w:space="0" w:color="auto"/>
            <w:bottom w:val="none" w:sz="0" w:space="0" w:color="auto"/>
            <w:right w:val="none" w:sz="0" w:space="0" w:color="auto"/>
          </w:divBdr>
        </w:div>
        <w:div w:id="2049597309">
          <w:marLeft w:val="0"/>
          <w:marRight w:val="0"/>
          <w:marTop w:val="0"/>
          <w:marBottom w:val="0"/>
          <w:divBdr>
            <w:top w:val="none" w:sz="0" w:space="0" w:color="auto"/>
            <w:left w:val="none" w:sz="0" w:space="0" w:color="auto"/>
            <w:bottom w:val="none" w:sz="0" w:space="0" w:color="auto"/>
            <w:right w:val="none" w:sz="0" w:space="0" w:color="auto"/>
          </w:divBdr>
        </w:div>
        <w:div w:id="1732802274">
          <w:marLeft w:val="0"/>
          <w:marRight w:val="0"/>
          <w:marTop w:val="0"/>
          <w:marBottom w:val="0"/>
          <w:divBdr>
            <w:top w:val="none" w:sz="0" w:space="0" w:color="auto"/>
            <w:left w:val="none" w:sz="0" w:space="0" w:color="auto"/>
            <w:bottom w:val="none" w:sz="0" w:space="0" w:color="auto"/>
            <w:right w:val="none" w:sz="0" w:space="0" w:color="auto"/>
          </w:divBdr>
        </w:div>
        <w:div w:id="1816949387">
          <w:marLeft w:val="0"/>
          <w:marRight w:val="0"/>
          <w:marTop w:val="0"/>
          <w:marBottom w:val="0"/>
          <w:divBdr>
            <w:top w:val="none" w:sz="0" w:space="0" w:color="auto"/>
            <w:left w:val="none" w:sz="0" w:space="0" w:color="auto"/>
            <w:bottom w:val="none" w:sz="0" w:space="0" w:color="auto"/>
            <w:right w:val="none" w:sz="0" w:space="0" w:color="auto"/>
          </w:divBdr>
        </w:div>
        <w:div w:id="1686519406">
          <w:marLeft w:val="0"/>
          <w:marRight w:val="0"/>
          <w:marTop w:val="0"/>
          <w:marBottom w:val="0"/>
          <w:divBdr>
            <w:top w:val="none" w:sz="0" w:space="0" w:color="auto"/>
            <w:left w:val="none" w:sz="0" w:space="0" w:color="auto"/>
            <w:bottom w:val="none" w:sz="0" w:space="0" w:color="auto"/>
            <w:right w:val="none" w:sz="0" w:space="0" w:color="auto"/>
          </w:divBdr>
        </w:div>
        <w:div w:id="438721047">
          <w:marLeft w:val="0"/>
          <w:marRight w:val="0"/>
          <w:marTop w:val="0"/>
          <w:marBottom w:val="0"/>
          <w:divBdr>
            <w:top w:val="none" w:sz="0" w:space="0" w:color="auto"/>
            <w:left w:val="none" w:sz="0" w:space="0" w:color="auto"/>
            <w:bottom w:val="none" w:sz="0" w:space="0" w:color="auto"/>
            <w:right w:val="none" w:sz="0" w:space="0" w:color="auto"/>
          </w:divBdr>
        </w:div>
        <w:div w:id="1493060725">
          <w:marLeft w:val="0"/>
          <w:marRight w:val="0"/>
          <w:marTop w:val="0"/>
          <w:marBottom w:val="0"/>
          <w:divBdr>
            <w:top w:val="none" w:sz="0" w:space="0" w:color="auto"/>
            <w:left w:val="none" w:sz="0" w:space="0" w:color="auto"/>
            <w:bottom w:val="none" w:sz="0" w:space="0" w:color="auto"/>
            <w:right w:val="none" w:sz="0" w:space="0" w:color="auto"/>
          </w:divBdr>
        </w:div>
        <w:div w:id="1303002536">
          <w:marLeft w:val="0"/>
          <w:marRight w:val="0"/>
          <w:marTop w:val="0"/>
          <w:marBottom w:val="0"/>
          <w:divBdr>
            <w:top w:val="none" w:sz="0" w:space="0" w:color="auto"/>
            <w:left w:val="none" w:sz="0" w:space="0" w:color="auto"/>
            <w:bottom w:val="none" w:sz="0" w:space="0" w:color="auto"/>
            <w:right w:val="none" w:sz="0" w:space="0" w:color="auto"/>
          </w:divBdr>
        </w:div>
        <w:div w:id="1762095944">
          <w:marLeft w:val="0"/>
          <w:marRight w:val="0"/>
          <w:marTop w:val="0"/>
          <w:marBottom w:val="0"/>
          <w:divBdr>
            <w:top w:val="none" w:sz="0" w:space="0" w:color="auto"/>
            <w:left w:val="none" w:sz="0" w:space="0" w:color="auto"/>
            <w:bottom w:val="none" w:sz="0" w:space="0" w:color="auto"/>
            <w:right w:val="none" w:sz="0" w:space="0" w:color="auto"/>
          </w:divBdr>
        </w:div>
        <w:div w:id="902325501">
          <w:marLeft w:val="0"/>
          <w:marRight w:val="0"/>
          <w:marTop w:val="0"/>
          <w:marBottom w:val="0"/>
          <w:divBdr>
            <w:top w:val="none" w:sz="0" w:space="0" w:color="auto"/>
            <w:left w:val="none" w:sz="0" w:space="0" w:color="auto"/>
            <w:bottom w:val="none" w:sz="0" w:space="0" w:color="auto"/>
            <w:right w:val="none" w:sz="0" w:space="0" w:color="auto"/>
          </w:divBdr>
        </w:div>
        <w:div w:id="1873035440">
          <w:marLeft w:val="0"/>
          <w:marRight w:val="0"/>
          <w:marTop w:val="0"/>
          <w:marBottom w:val="0"/>
          <w:divBdr>
            <w:top w:val="none" w:sz="0" w:space="0" w:color="auto"/>
            <w:left w:val="none" w:sz="0" w:space="0" w:color="auto"/>
            <w:bottom w:val="none" w:sz="0" w:space="0" w:color="auto"/>
            <w:right w:val="none" w:sz="0" w:space="0" w:color="auto"/>
          </w:divBdr>
        </w:div>
        <w:div w:id="1164665111">
          <w:marLeft w:val="0"/>
          <w:marRight w:val="0"/>
          <w:marTop w:val="0"/>
          <w:marBottom w:val="0"/>
          <w:divBdr>
            <w:top w:val="none" w:sz="0" w:space="0" w:color="auto"/>
            <w:left w:val="none" w:sz="0" w:space="0" w:color="auto"/>
            <w:bottom w:val="none" w:sz="0" w:space="0" w:color="auto"/>
            <w:right w:val="none" w:sz="0" w:space="0" w:color="auto"/>
          </w:divBdr>
        </w:div>
        <w:div w:id="1549604730">
          <w:marLeft w:val="0"/>
          <w:marRight w:val="0"/>
          <w:marTop w:val="0"/>
          <w:marBottom w:val="0"/>
          <w:divBdr>
            <w:top w:val="none" w:sz="0" w:space="0" w:color="auto"/>
            <w:left w:val="none" w:sz="0" w:space="0" w:color="auto"/>
            <w:bottom w:val="none" w:sz="0" w:space="0" w:color="auto"/>
            <w:right w:val="none" w:sz="0" w:space="0" w:color="auto"/>
          </w:divBdr>
        </w:div>
        <w:div w:id="881525760">
          <w:marLeft w:val="0"/>
          <w:marRight w:val="0"/>
          <w:marTop w:val="0"/>
          <w:marBottom w:val="0"/>
          <w:divBdr>
            <w:top w:val="none" w:sz="0" w:space="0" w:color="auto"/>
            <w:left w:val="none" w:sz="0" w:space="0" w:color="auto"/>
            <w:bottom w:val="none" w:sz="0" w:space="0" w:color="auto"/>
            <w:right w:val="none" w:sz="0" w:space="0" w:color="auto"/>
          </w:divBdr>
        </w:div>
        <w:div w:id="115560885">
          <w:marLeft w:val="0"/>
          <w:marRight w:val="0"/>
          <w:marTop w:val="0"/>
          <w:marBottom w:val="0"/>
          <w:divBdr>
            <w:top w:val="none" w:sz="0" w:space="0" w:color="auto"/>
            <w:left w:val="none" w:sz="0" w:space="0" w:color="auto"/>
            <w:bottom w:val="none" w:sz="0" w:space="0" w:color="auto"/>
            <w:right w:val="none" w:sz="0" w:space="0" w:color="auto"/>
          </w:divBdr>
        </w:div>
        <w:div w:id="831532660">
          <w:marLeft w:val="0"/>
          <w:marRight w:val="0"/>
          <w:marTop w:val="0"/>
          <w:marBottom w:val="0"/>
          <w:divBdr>
            <w:top w:val="none" w:sz="0" w:space="0" w:color="auto"/>
            <w:left w:val="none" w:sz="0" w:space="0" w:color="auto"/>
            <w:bottom w:val="none" w:sz="0" w:space="0" w:color="auto"/>
            <w:right w:val="none" w:sz="0" w:space="0" w:color="auto"/>
          </w:divBdr>
        </w:div>
        <w:div w:id="905800040">
          <w:marLeft w:val="0"/>
          <w:marRight w:val="0"/>
          <w:marTop w:val="0"/>
          <w:marBottom w:val="0"/>
          <w:divBdr>
            <w:top w:val="none" w:sz="0" w:space="0" w:color="auto"/>
            <w:left w:val="none" w:sz="0" w:space="0" w:color="auto"/>
            <w:bottom w:val="none" w:sz="0" w:space="0" w:color="auto"/>
            <w:right w:val="none" w:sz="0" w:space="0" w:color="auto"/>
          </w:divBdr>
        </w:div>
        <w:div w:id="1572231237">
          <w:marLeft w:val="0"/>
          <w:marRight w:val="0"/>
          <w:marTop w:val="0"/>
          <w:marBottom w:val="0"/>
          <w:divBdr>
            <w:top w:val="none" w:sz="0" w:space="0" w:color="auto"/>
            <w:left w:val="none" w:sz="0" w:space="0" w:color="auto"/>
            <w:bottom w:val="none" w:sz="0" w:space="0" w:color="auto"/>
            <w:right w:val="none" w:sz="0" w:space="0" w:color="auto"/>
          </w:divBdr>
        </w:div>
        <w:div w:id="1752114849">
          <w:marLeft w:val="0"/>
          <w:marRight w:val="0"/>
          <w:marTop w:val="0"/>
          <w:marBottom w:val="0"/>
          <w:divBdr>
            <w:top w:val="none" w:sz="0" w:space="0" w:color="auto"/>
            <w:left w:val="none" w:sz="0" w:space="0" w:color="auto"/>
            <w:bottom w:val="none" w:sz="0" w:space="0" w:color="auto"/>
            <w:right w:val="none" w:sz="0" w:space="0" w:color="auto"/>
          </w:divBdr>
        </w:div>
        <w:div w:id="1999067899">
          <w:marLeft w:val="0"/>
          <w:marRight w:val="0"/>
          <w:marTop w:val="0"/>
          <w:marBottom w:val="0"/>
          <w:divBdr>
            <w:top w:val="none" w:sz="0" w:space="0" w:color="auto"/>
            <w:left w:val="none" w:sz="0" w:space="0" w:color="auto"/>
            <w:bottom w:val="none" w:sz="0" w:space="0" w:color="auto"/>
            <w:right w:val="none" w:sz="0" w:space="0" w:color="auto"/>
          </w:divBdr>
        </w:div>
        <w:div w:id="1852405796">
          <w:marLeft w:val="0"/>
          <w:marRight w:val="0"/>
          <w:marTop w:val="0"/>
          <w:marBottom w:val="0"/>
          <w:divBdr>
            <w:top w:val="none" w:sz="0" w:space="0" w:color="auto"/>
            <w:left w:val="none" w:sz="0" w:space="0" w:color="auto"/>
            <w:bottom w:val="none" w:sz="0" w:space="0" w:color="auto"/>
            <w:right w:val="none" w:sz="0" w:space="0" w:color="auto"/>
          </w:divBdr>
        </w:div>
        <w:div w:id="785581996">
          <w:marLeft w:val="0"/>
          <w:marRight w:val="0"/>
          <w:marTop w:val="0"/>
          <w:marBottom w:val="0"/>
          <w:divBdr>
            <w:top w:val="none" w:sz="0" w:space="0" w:color="auto"/>
            <w:left w:val="none" w:sz="0" w:space="0" w:color="auto"/>
            <w:bottom w:val="none" w:sz="0" w:space="0" w:color="auto"/>
            <w:right w:val="none" w:sz="0" w:space="0" w:color="auto"/>
          </w:divBdr>
        </w:div>
        <w:div w:id="1822186069">
          <w:marLeft w:val="0"/>
          <w:marRight w:val="0"/>
          <w:marTop w:val="0"/>
          <w:marBottom w:val="0"/>
          <w:divBdr>
            <w:top w:val="none" w:sz="0" w:space="0" w:color="auto"/>
            <w:left w:val="none" w:sz="0" w:space="0" w:color="auto"/>
            <w:bottom w:val="none" w:sz="0" w:space="0" w:color="auto"/>
            <w:right w:val="none" w:sz="0" w:space="0" w:color="auto"/>
          </w:divBdr>
        </w:div>
        <w:div w:id="93787676">
          <w:marLeft w:val="0"/>
          <w:marRight w:val="0"/>
          <w:marTop w:val="0"/>
          <w:marBottom w:val="0"/>
          <w:divBdr>
            <w:top w:val="none" w:sz="0" w:space="0" w:color="auto"/>
            <w:left w:val="none" w:sz="0" w:space="0" w:color="auto"/>
            <w:bottom w:val="none" w:sz="0" w:space="0" w:color="auto"/>
            <w:right w:val="none" w:sz="0" w:space="0" w:color="auto"/>
          </w:divBdr>
        </w:div>
        <w:div w:id="1281032233">
          <w:marLeft w:val="0"/>
          <w:marRight w:val="0"/>
          <w:marTop w:val="0"/>
          <w:marBottom w:val="0"/>
          <w:divBdr>
            <w:top w:val="none" w:sz="0" w:space="0" w:color="auto"/>
            <w:left w:val="none" w:sz="0" w:space="0" w:color="auto"/>
            <w:bottom w:val="none" w:sz="0" w:space="0" w:color="auto"/>
            <w:right w:val="none" w:sz="0" w:space="0" w:color="auto"/>
          </w:divBdr>
        </w:div>
        <w:div w:id="662465313">
          <w:marLeft w:val="0"/>
          <w:marRight w:val="0"/>
          <w:marTop w:val="0"/>
          <w:marBottom w:val="0"/>
          <w:divBdr>
            <w:top w:val="none" w:sz="0" w:space="0" w:color="auto"/>
            <w:left w:val="none" w:sz="0" w:space="0" w:color="auto"/>
            <w:bottom w:val="none" w:sz="0" w:space="0" w:color="auto"/>
            <w:right w:val="none" w:sz="0" w:space="0" w:color="auto"/>
          </w:divBdr>
        </w:div>
        <w:div w:id="195578965">
          <w:marLeft w:val="0"/>
          <w:marRight w:val="0"/>
          <w:marTop w:val="0"/>
          <w:marBottom w:val="0"/>
          <w:divBdr>
            <w:top w:val="none" w:sz="0" w:space="0" w:color="auto"/>
            <w:left w:val="none" w:sz="0" w:space="0" w:color="auto"/>
            <w:bottom w:val="none" w:sz="0" w:space="0" w:color="auto"/>
            <w:right w:val="none" w:sz="0" w:space="0" w:color="auto"/>
          </w:divBdr>
        </w:div>
        <w:div w:id="1733117795">
          <w:marLeft w:val="0"/>
          <w:marRight w:val="0"/>
          <w:marTop w:val="0"/>
          <w:marBottom w:val="0"/>
          <w:divBdr>
            <w:top w:val="none" w:sz="0" w:space="0" w:color="auto"/>
            <w:left w:val="none" w:sz="0" w:space="0" w:color="auto"/>
            <w:bottom w:val="none" w:sz="0" w:space="0" w:color="auto"/>
            <w:right w:val="none" w:sz="0" w:space="0" w:color="auto"/>
          </w:divBdr>
        </w:div>
        <w:div w:id="935985821">
          <w:marLeft w:val="0"/>
          <w:marRight w:val="0"/>
          <w:marTop w:val="0"/>
          <w:marBottom w:val="0"/>
          <w:divBdr>
            <w:top w:val="none" w:sz="0" w:space="0" w:color="auto"/>
            <w:left w:val="none" w:sz="0" w:space="0" w:color="auto"/>
            <w:bottom w:val="none" w:sz="0" w:space="0" w:color="auto"/>
            <w:right w:val="none" w:sz="0" w:space="0" w:color="auto"/>
          </w:divBdr>
        </w:div>
        <w:div w:id="1385368433">
          <w:marLeft w:val="0"/>
          <w:marRight w:val="0"/>
          <w:marTop w:val="0"/>
          <w:marBottom w:val="0"/>
          <w:divBdr>
            <w:top w:val="none" w:sz="0" w:space="0" w:color="auto"/>
            <w:left w:val="none" w:sz="0" w:space="0" w:color="auto"/>
            <w:bottom w:val="none" w:sz="0" w:space="0" w:color="auto"/>
            <w:right w:val="none" w:sz="0" w:space="0" w:color="auto"/>
          </w:divBdr>
        </w:div>
        <w:div w:id="1748185661">
          <w:marLeft w:val="0"/>
          <w:marRight w:val="0"/>
          <w:marTop w:val="0"/>
          <w:marBottom w:val="0"/>
          <w:divBdr>
            <w:top w:val="none" w:sz="0" w:space="0" w:color="auto"/>
            <w:left w:val="none" w:sz="0" w:space="0" w:color="auto"/>
            <w:bottom w:val="none" w:sz="0" w:space="0" w:color="auto"/>
            <w:right w:val="none" w:sz="0" w:space="0" w:color="auto"/>
          </w:divBdr>
        </w:div>
        <w:div w:id="1927305203">
          <w:marLeft w:val="0"/>
          <w:marRight w:val="0"/>
          <w:marTop w:val="0"/>
          <w:marBottom w:val="0"/>
          <w:divBdr>
            <w:top w:val="none" w:sz="0" w:space="0" w:color="auto"/>
            <w:left w:val="none" w:sz="0" w:space="0" w:color="auto"/>
            <w:bottom w:val="none" w:sz="0" w:space="0" w:color="auto"/>
            <w:right w:val="none" w:sz="0" w:space="0" w:color="auto"/>
          </w:divBdr>
        </w:div>
        <w:div w:id="415252101">
          <w:marLeft w:val="0"/>
          <w:marRight w:val="0"/>
          <w:marTop w:val="0"/>
          <w:marBottom w:val="0"/>
          <w:divBdr>
            <w:top w:val="none" w:sz="0" w:space="0" w:color="auto"/>
            <w:left w:val="none" w:sz="0" w:space="0" w:color="auto"/>
            <w:bottom w:val="none" w:sz="0" w:space="0" w:color="auto"/>
            <w:right w:val="none" w:sz="0" w:space="0" w:color="auto"/>
          </w:divBdr>
        </w:div>
      </w:divsChild>
    </w:div>
    <w:div w:id="2024041592">
      <w:bodyDiv w:val="1"/>
      <w:marLeft w:val="0"/>
      <w:marRight w:val="0"/>
      <w:marTop w:val="0"/>
      <w:marBottom w:val="0"/>
      <w:divBdr>
        <w:top w:val="none" w:sz="0" w:space="0" w:color="auto"/>
        <w:left w:val="none" w:sz="0" w:space="0" w:color="auto"/>
        <w:bottom w:val="none" w:sz="0" w:space="0" w:color="auto"/>
        <w:right w:val="none" w:sz="0" w:space="0" w:color="auto"/>
      </w:divBdr>
    </w:div>
    <w:div w:id="2092192558">
      <w:bodyDiv w:val="1"/>
      <w:marLeft w:val="0"/>
      <w:marRight w:val="0"/>
      <w:marTop w:val="0"/>
      <w:marBottom w:val="0"/>
      <w:divBdr>
        <w:top w:val="none" w:sz="0" w:space="0" w:color="auto"/>
        <w:left w:val="none" w:sz="0" w:space="0" w:color="auto"/>
        <w:bottom w:val="none" w:sz="0" w:space="0" w:color="auto"/>
        <w:right w:val="none" w:sz="0" w:space="0" w:color="auto"/>
      </w:divBdr>
      <w:divsChild>
        <w:div w:id="1477448729">
          <w:marLeft w:val="0"/>
          <w:marRight w:val="0"/>
          <w:marTop w:val="0"/>
          <w:marBottom w:val="0"/>
          <w:divBdr>
            <w:top w:val="none" w:sz="0" w:space="0" w:color="auto"/>
            <w:left w:val="none" w:sz="0" w:space="0" w:color="auto"/>
            <w:bottom w:val="none" w:sz="0" w:space="0" w:color="auto"/>
            <w:right w:val="none" w:sz="0" w:space="0" w:color="auto"/>
          </w:divBdr>
        </w:div>
        <w:div w:id="371930156">
          <w:marLeft w:val="0"/>
          <w:marRight w:val="0"/>
          <w:marTop w:val="0"/>
          <w:marBottom w:val="0"/>
          <w:divBdr>
            <w:top w:val="none" w:sz="0" w:space="0" w:color="auto"/>
            <w:left w:val="none" w:sz="0" w:space="0" w:color="auto"/>
            <w:bottom w:val="none" w:sz="0" w:space="0" w:color="auto"/>
            <w:right w:val="none" w:sz="0" w:space="0" w:color="auto"/>
          </w:divBdr>
        </w:div>
        <w:div w:id="16583160">
          <w:marLeft w:val="0"/>
          <w:marRight w:val="0"/>
          <w:marTop w:val="0"/>
          <w:marBottom w:val="0"/>
          <w:divBdr>
            <w:top w:val="none" w:sz="0" w:space="0" w:color="auto"/>
            <w:left w:val="none" w:sz="0" w:space="0" w:color="auto"/>
            <w:bottom w:val="none" w:sz="0" w:space="0" w:color="auto"/>
            <w:right w:val="none" w:sz="0" w:space="0" w:color="auto"/>
          </w:divBdr>
        </w:div>
        <w:div w:id="18954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ma-acmc.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pitalregional.co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italregion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ndaction.com/english.php" TargetMode="External"/><Relationship Id="rId4" Type="http://schemas.openxmlformats.org/officeDocument/2006/relationships/settings" Target="settings.xml"/><Relationship Id="rId9" Type="http://schemas.openxmlformats.org/officeDocument/2006/relationships/hyperlink" Target="http://www.fondact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0BE63.B3F56C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5393-F99D-49F8-8F34-AEF1CCFB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3692</Words>
  <Characters>20786</Characters>
  <Application>Microsoft Office Word</Application>
  <DocSecurity>0</DocSecurity>
  <Lines>1039</Lines>
  <Paragraphs>370</Paragraphs>
  <ScaleCrop>false</ScaleCrop>
  <HeadingPairs>
    <vt:vector size="2" baseType="variant">
      <vt:variant>
        <vt:lpstr>Title</vt:lpstr>
      </vt:variant>
      <vt:variant>
        <vt:i4>1</vt:i4>
      </vt:variant>
    </vt:vector>
  </HeadingPairs>
  <TitlesOfParts>
    <vt:vector size="1" baseType="lpstr">
      <vt:lpstr/>
    </vt:vector>
  </TitlesOfParts>
  <Company>System User</Company>
  <LinksUpToDate>false</LinksUpToDate>
  <CharactersWithSpaces>24108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Amsden</dc:creator>
  <cp:lastModifiedBy>Barb Amsden</cp:lastModifiedBy>
  <cp:revision>5</cp:revision>
  <cp:lastPrinted>2022-07-29T15:05:00Z</cp:lastPrinted>
  <dcterms:created xsi:type="dcterms:W3CDTF">2022-07-29T15:06:00Z</dcterms:created>
  <dcterms:modified xsi:type="dcterms:W3CDTF">2022-08-01T12:24:00Z</dcterms:modified>
</cp:coreProperties>
</file>