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62" w:rsidRDefault="004D4B27" w:rsidP="00C73F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CCMA </w:t>
      </w:r>
    </w:p>
    <w:p w:rsidR="004D4B27" w:rsidRDefault="004D4B27" w:rsidP="00C73F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TMX – Post Trade Modernization Project - Advisory Council</w:t>
      </w:r>
    </w:p>
    <w:p w:rsidR="00CF216F" w:rsidRDefault="00CF216F" w:rsidP="00C73F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(PTMP-</w:t>
      </w:r>
      <w:r w:rsidR="00F433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AC)</w:t>
      </w:r>
    </w:p>
    <w:p w:rsidR="004D4B27" w:rsidRDefault="004D4B27" w:rsidP="00C73F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17, 2018</w:t>
      </w:r>
    </w:p>
    <w:p w:rsidR="009E24F6" w:rsidRDefault="009E24F6" w:rsidP="00C73F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4D4B27" w:rsidRDefault="004D4B27" w:rsidP="00C73FBD">
      <w:pPr>
        <w:jc w:val="center"/>
        <w:rPr>
          <w:rFonts w:ascii="Arial" w:hAnsi="Arial" w:cs="Arial"/>
          <w:b/>
          <w:sz w:val="28"/>
          <w:szCs w:val="28"/>
        </w:rPr>
      </w:pPr>
    </w:p>
    <w:p w:rsidR="00C05AA3" w:rsidRPr="00C73FBD" w:rsidRDefault="00C05AA3" w:rsidP="00C05AA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C73FBD">
        <w:rPr>
          <w:rFonts w:ascii="Arial" w:hAnsi="Arial" w:cs="Arial"/>
          <w:b/>
          <w:i/>
          <w:sz w:val="24"/>
          <w:szCs w:val="24"/>
        </w:rPr>
        <w:t>CCMA and the TMX Post Trade Modernization Project</w:t>
      </w:r>
    </w:p>
    <w:p w:rsidR="00C05AA3" w:rsidRPr="00C73FBD" w:rsidRDefault="00C05AA3" w:rsidP="00C05A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3FBD">
        <w:rPr>
          <w:rFonts w:ascii="Arial" w:hAnsi="Arial" w:cs="Arial"/>
          <w:sz w:val="24"/>
          <w:szCs w:val="24"/>
        </w:rPr>
        <w:t>Role of CCMA</w:t>
      </w:r>
    </w:p>
    <w:p w:rsidR="00C05AA3" w:rsidRPr="004D4B27" w:rsidRDefault="00C05AA3" w:rsidP="004D4B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3FBD">
        <w:rPr>
          <w:rFonts w:ascii="Arial" w:hAnsi="Arial" w:cs="Arial"/>
          <w:sz w:val="24"/>
          <w:szCs w:val="24"/>
        </w:rPr>
        <w:t xml:space="preserve">Role within the </w:t>
      </w:r>
      <w:r w:rsidR="004D4B27">
        <w:rPr>
          <w:rFonts w:ascii="Arial" w:hAnsi="Arial" w:cs="Arial"/>
          <w:sz w:val="24"/>
          <w:szCs w:val="24"/>
        </w:rPr>
        <w:t xml:space="preserve">TMX </w:t>
      </w:r>
      <w:r w:rsidRPr="00C73FBD">
        <w:rPr>
          <w:rFonts w:ascii="Arial" w:hAnsi="Arial" w:cs="Arial"/>
          <w:sz w:val="24"/>
          <w:szCs w:val="24"/>
        </w:rPr>
        <w:t>project</w:t>
      </w:r>
      <w:r w:rsidR="00D14682">
        <w:rPr>
          <w:rFonts w:ascii="Arial" w:hAnsi="Arial" w:cs="Arial"/>
          <w:sz w:val="24"/>
          <w:szCs w:val="24"/>
        </w:rPr>
        <w:t xml:space="preserve"> (</w:t>
      </w:r>
      <w:hyperlink w:anchor="OversightCommittee" w:history="1">
        <w:r w:rsidR="00D14682" w:rsidRPr="00BD7D2C">
          <w:rPr>
            <w:rStyle w:val="Hyperlink"/>
            <w:rFonts w:ascii="Arial" w:hAnsi="Arial" w:cs="Arial"/>
            <w:sz w:val="24"/>
            <w:szCs w:val="24"/>
          </w:rPr>
          <w:t>Oversight Committee</w:t>
        </w:r>
      </w:hyperlink>
      <w:r w:rsidR="00D14682">
        <w:rPr>
          <w:rFonts w:ascii="Arial" w:hAnsi="Arial" w:cs="Arial"/>
          <w:sz w:val="24"/>
          <w:szCs w:val="24"/>
        </w:rPr>
        <w:t>)</w:t>
      </w:r>
    </w:p>
    <w:p w:rsidR="00C73FBD" w:rsidRPr="00C73FBD" w:rsidRDefault="00C73FBD" w:rsidP="00905841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C73FBD" w:rsidRPr="00C73FBD" w:rsidRDefault="00C73FBD" w:rsidP="00C73FB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C73FBD">
        <w:rPr>
          <w:rFonts w:ascii="Arial" w:hAnsi="Arial" w:cs="Arial"/>
          <w:b/>
          <w:i/>
          <w:sz w:val="24"/>
          <w:szCs w:val="24"/>
        </w:rPr>
        <w:t>CCMA Advisory Council</w:t>
      </w:r>
    </w:p>
    <w:p w:rsidR="00C73FBD" w:rsidRPr="00C73FBD" w:rsidRDefault="00C73FBD" w:rsidP="00C73FB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3FBD">
        <w:rPr>
          <w:rFonts w:ascii="Arial" w:hAnsi="Arial" w:cs="Arial"/>
          <w:sz w:val="24"/>
          <w:szCs w:val="24"/>
        </w:rPr>
        <w:t>Role</w:t>
      </w:r>
    </w:p>
    <w:p w:rsidR="00C73FBD" w:rsidRDefault="00C73FBD" w:rsidP="00C73FB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3FBD">
        <w:rPr>
          <w:rFonts w:ascii="Arial" w:hAnsi="Arial" w:cs="Arial"/>
          <w:sz w:val="24"/>
          <w:szCs w:val="24"/>
        </w:rPr>
        <w:t>Membership</w:t>
      </w:r>
    </w:p>
    <w:p w:rsidR="004D4B27" w:rsidRDefault="00CA4DCB" w:rsidP="00C73FB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w:anchor="Mandate" w:history="1">
        <w:r w:rsidR="004D4B27" w:rsidRPr="00BD7D2C">
          <w:rPr>
            <w:rStyle w:val="Hyperlink"/>
            <w:rFonts w:ascii="Arial" w:hAnsi="Arial" w:cs="Arial"/>
            <w:sz w:val="24"/>
            <w:szCs w:val="24"/>
          </w:rPr>
          <w:t>Mandate</w:t>
        </w:r>
      </w:hyperlink>
    </w:p>
    <w:p w:rsidR="00C73FBD" w:rsidRPr="00C73FBD" w:rsidRDefault="00C73FBD" w:rsidP="00905841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C05AA3" w:rsidRPr="00C73FBD" w:rsidRDefault="00C05AA3" w:rsidP="00C05AA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C73FBD">
        <w:rPr>
          <w:rFonts w:ascii="Arial" w:hAnsi="Arial" w:cs="Arial"/>
          <w:b/>
          <w:i/>
          <w:sz w:val="24"/>
          <w:szCs w:val="24"/>
        </w:rPr>
        <w:t>CCMA Funding Model</w:t>
      </w:r>
    </w:p>
    <w:p w:rsidR="00C05AA3" w:rsidRPr="00C73FBD" w:rsidRDefault="00C05AA3" w:rsidP="00C05A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3FBD">
        <w:rPr>
          <w:rFonts w:ascii="Arial" w:hAnsi="Arial" w:cs="Arial"/>
          <w:sz w:val="24"/>
          <w:szCs w:val="24"/>
        </w:rPr>
        <w:t>T+2</w:t>
      </w:r>
    </w:p>
    <w:p w:rsidR="00C05AA3" w:rsidRDefault="004D4B27" w:rsidP="00C05A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TMX -</w:t>
      </w:r>
      <w:r w:rsidR="00C05AA3" w:rsidRPr="00C73FBD">
        <w:rPr>
          <w:rFonts w:ascii="Arial" w:hAnsi="Arial" w:cs="Arial"/>
          <w:sz w:val="24"/>
          <w:szCs w:val="24"/>
        </w:rPr>
        <w:t xml:space="preserve"> Post-Trade Modernization Project</w:t>
      </w:r>
      <w:r>
        <w:rPr>
          <w:rFonts w:ascii="Arial" w:hAnsi="Arial" w:cs="Arial"/>
          <w:sz w:val="24"/>
          <w:szCs w:val="24"/>
        </w:rPr>
        <w:t xml:space="preserve"> – Advisory Council</w:t>
      </w:r>
    </w:p>
    <w:p w:rsidR="00C73FBD" w:rsidRPr="00C73FBD" w:rsidRDefault="00C73FBD" w:rsidP="00905841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C05AA3" w:rsidRDefault="00C05AA3" w:rsidP="006A053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C73FBD">
        <w:rPr>
          <w:rFonts w:ascii="Arial" w:hAnsi="Arial" w:cs="Arial"/>
          <w:b/>
          <w:i/>
          <w:sz w:val="24"/>
          <w:szCs w:val="24"/>
        </w:rPr>
        <w:t>CCMA Governance</w:t>
      </w:r>
    </w:p>
    <w:p w:rsidR="00AE7E49" w:rsidRDefault="00AE7E49" w:rsidP="00AE7E49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CCMA Board Requirement – </w:t>
      </w:r>
      <w:hyperlink w:anchor="Membership" w:history="1">
        <w:r w:rsidRPr="00CF216F">
          <w:rPr>
            <w:rStyle w:val="Hyperlink"/>
            <w:rFonts w:ascii="Arial" w:hAnsi="Arial" w:cs="Arial"/>
            <w:b/>
            <w:i/>
            <w:sz w:val="24"/>
            <w:szCs w:val="24"/>
          </w:rPr>
          <w:t>formal committee members</w:t>
        </w:r>
      </w:hyperlink>
    </w:p>
    <w:p w:rsidR="00AE7E49" w:rsidRPr="00AE7E49" w:rsidRDefault="00AE7E49" w:rsidP="00905841">
      <w:pPr>
        <w:spacing w:after="0"/>
        <w:ind w:left="1080"/>
        <w:rPr>
          <w:rFonts w:ascii="Arial" w:hAnsi="Arial" w:cs="Arial"/>
          <w:b/>
          <w:i/>
          <w:sz w:val="24"/>
          <w:szCs w:val="24"/>
        </w:rPr>
      </w:pPr>
    </w:p>
    <w:p w:rsidR="00AE7E49" w:rsidRDefault="00AE7E49" w:rsidP="006A053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For future meetings of the PTMP-AC</w:t>
      </w:r>
    </w:p>
    <w:p w:rsidR="00AE7E49" w:rsidRDefault="00AE7E49" w:rsidP="00AE7E49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What information does the industry require?</w:t>
      </w:r>
    </w:p>
    <w:p w:rsidR="00AE7E49" w:rsidRDefault="00CF216F" w:rsidP="00AE7E49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How do we feed information into the Oversight Committee?</w:t>
      </w:r>
    </w:p>
    <w:p w:rsidR="00CF216F" w:rsidRDefault="00CF216F" w:rsidP="00AE7E49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Meeting frequency</w:t>
      </w:r>
      <w:r w:rsidR="00F43362">
        <w:rPr>
          <w:rFonts w:ascii="Arial" w:hAnsi="Arial" w:cs="Arial"/>
          <w:b/>
          <w:i/>
          <w:sz w:val="24"/>
          <w:szCs w:val="24"/>
        </w:rPr>
        <w:t>?</w:t>
      </w:r>
    </w:p>
    <w:p w:rsidR="00CF216F" w:rsidRDefault="00CF216F" w:rsidP="00AE7E49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Attendance at the Consultative Committees</w:t>
      </w:r>
    </w:p>
    <w:p w:rsidR="00CF216F" w:rsidRPr="00CF216F" w:rsidRDefault="00CF216F" w:rsidP="00905841">
      <w:pPr>
        <w:spacing w:after="0"/>
        <w:ind w:left="1080"/>
        <w:rPr>
          <w:rFonts w:ascii="Arial" w:hAnsi="Arial" w:cs="Arial"/>
          <w:b/>
          <w:i/>
          <w:sz w:val="24"/>
          <w:szCs w:val="24"/>
        </w:rPr>
      </w:pPr>
    </w:p>
    <w:p w:rsidR="00AE7E49" w:rsidRDefault="00CF216F" w:rsidP="006A053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Questions</w:t>
      </w:r>
    </w:p>
    <w:p w:rsidR="00CF216F" w:rsidRPr="00CF216F" w:rsidRDefault="00CF216F" w:rsidP="00905841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:rsidR="00C73FBD" w:rsidRPr="00905841" w:rsidRDefault="00CF216F" w:rsidP="0090584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Next Meeting</w:t>
      </w:r>
      <w:r w:rsidR="00905841">
        <w:rPr>
          <w:rFonts w:ascii="Arial" w:hAnsi="Arial" w:cs="Arial"/>
          <w:b/>
          <w:i/>
          <w:sz w:val="24"/>
          <w:szCs w:val="24"/>
        </w:rPr>
        <w:t xml:space="preserve"> </w:t>
      </w:r>
      <w:r w:rsidR="00905841">
        <w:rPr>
          <w:rFonts w:ascii="Arial" w:hAnsi="Arial" w:cs="Arial"/>
          <w:b/>
          <w:i/>
          <w:sz w:val="24"/>
          <w:szCs w:val="24"/>
        </w:rPr>
        <w:tab/>
        <w:t>February 21, 2018 at 11:00 AM ET</w:t>
      </w:r>
    </w:p>
    <w:p w:rsidR="00C73FBD" w:rsidRDefault="00C73FBD" w:rsidP="004D4B2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D4B27" w:rsidRDefault="004D4B27" w:rsidP="004D4B2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A5CBC" w:rsidRPr="002A5CBC" w:rsidRDefault="00905841" w:rsidP="004D4B27">
      <w:pPr>
        <w:pStyle w:val="Header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0" w:name="OversightCommittee"/>
      <w:r>
        <w:rPr>
          <w:b/>
          <w:sz w:val="32"/>
          <w:szCs w:val="32"/>
        </w:rPr>
        <w:t xml:space="preserve">TMX - </w:t>
      </w:r>
      <w:r w:rsidR="002A5CBC">
        <w:rPr>
          <w:b/>
          <w:sz w:val="32"/>
          <w:szCs w:val="32"/>
        </w:rPr>
        <w:t>Participant</w:t>
      </w:r>
      <w:bookmarkEnd w:id="0"/>
      <w:r w:rsidR="002A5CBC" w:rsidRPr="002A5CBC">
        <w:rPr>
          <w:rFonts w:ascii="Gautami" w:eastAsia="Gautami" w:hAnsi="Gautami" w:cs="Gautami"/>
          <w:b/>
          <w:sz w:val="32"/>
          <w:szCs w:val="32"/>
        </w:rPr>
        <w:t>​</w:t>
      </w:r>
      <w:r w:rsidR="002A5CBC" w:rsidRPr="002A5CBC">
        <w:rPr>
          <w:b/>
          <w:sz w:val="32"/>
          <w:szCs w:val="32"/>
        </w:rPr>
        <w:t xml:space="preserve"> </w:t>
      </w:r>
      <w:r w:rsidR="002A5CBC" w:rsidRPr="002A5CBC">
        <w:rPr>
          <w:rFonts w:ascii="Gautami" w:eastAsia="Gautami" w:hAnsi="Gautami" w:cs="Gautami"/>
          <w:b/>
          <w:sz w:val="32"/>
          <w:szCs w:val="32"/>
        </w:rPr>
        <w:t>​</w:t>
      </w:r>
      <w:r w:rsidR="002A5CBC" w:rsidRPr="002A5CBC">
        <w:rPr>
          <w:b/>
          <w:sz w:val="32"/>
          <w:szCs w:val="32"/>
        </w:rPr>
        <w:t>Engagement</w:t>
      </w:r>
      <w:r w:rsidR="002A5CBC" w:rsidRPr="002A5CBC">
        <w:rPr>
          <w:rFonts w:ascii="Gautami" w:eastAsia="Gautami" w:hAnsi="Gautami" w:cs="Gautami"/>
          <w:b/>
          <w:sz w:val="32"/>
          <w:szCs w:val="32"/>
        </w:rPr>
        <w:t>​</w:t>
      </w:r>
      <w:r w:rsidR="002A5CBC" w:rsidRPr="002A5CBC">
        <w:rPr>
          <w:b/>
          <w:sz w:val="32"/>
          <w:szCs w:val="32"/>
        </w:rPr>
        <w:t xml:space="preserve"> </w:t>
      </w:r>
      <w:r w:rsidR="002A5CBC" w:rsidRPr="002A5CBC">
        <w:rPr>
          <w:rFonts w:ascii="Gautami" w:eastAsia="Gautami" w:hAnsi="Gautami" w:cs="Gautami"/>
          <w:b/>
          <w:sz w:val="32"/>
          <w:szCs w:val="32"/>
        </w:rPr>
        <w:t>​</w:t>
      </w:r>
      <w:r w:rsidR="002A5CBC" w:rsidRPr="002A5CBC">
        <w:rPr>
          <w:b/>
          <w:sz w:val="32"/>
          <w:szCs w:val="32"/>
        </w:rPr>
        <w:t>Committee</w:t>
      </w:r>
      <w:r w:rsidR="002A5CBC" w:rsidRPr="002A5CBC">
        <w:rPr>
          <w:rFonts w:ascii="Gautami" w:eastAsia="Gautami" w:hAnsi="Gautami" w:cs="Gautami"/>
          <w:b/>
          <w:sz w:val="32"/>
          <w:szCs w:val="32"/>
        </w:rPr>
        <w:t>​</w:t>
      </w:r>
      <w:r w:rsidR="002A5CBC" w:rsidRPr="002A5CBC">
        <w:rPr>
          <w:b/>
          <w:sz w:val="32"/>
          <w:szCs w:val="32"/>
        </w:rPr>
        <w:t xml:space="preserve"> </w:t>
      </w:r>
      <w:r w:rsidR="002A5CBC" w:rsidRPr="002A5CBC">
        <w:rPr>
          <w:rFonts w:ascii="Gautami" w:eastAsia="Gautami" w:hAnsi="Gautami" w:cs="Gautami"/>
          <w:b/>
          <w:sz w:val="32"/>
          <w:szCs w:val="32"/>
        </w:rPr>
        <w:t>​</w:t>
      </w:r>
      <w:r w:rsidR="002A5CBC" w:rsidRPr="002A5CBC">
        <w:rPr>
          <w:b/>
          <w:sz w:val="32"/>
          <w:szCs w:val="32"/>
        </w:rPr>
        <w:t>Structure</w:t>
      </w:r>
    </w:p>
    <w:p w:rsidR="002A5CBC" w:rsidRDefault="002A5CBC" w:rsidP="004D4B27">
      <w:pPr>
        <w:pStyle w:val="Header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2A5CBC" w:rsidRDefault="002A5CBC" w:rsidP="004D4B27">
      <w:pPr>
        <w:pStyle w:val="Header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2A5CBC" w:rsidRDefault="00EB1CC2" w:rsidP="004D4B27">
      <w:pPr>
        <w:pStyle w:val="Header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7FE3B117" wp14:editId="5D0DCD1E">
            <wp:extent cx="5943600" cy="43338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" name="Picture 47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CBC" w:rsidRDefault="002A5CBC" w:rsidP="002A5CBC">
      <w:pPr>
        <w:pStyle w:val="Header"/>
        <w:numPr>
          <w:ilvl w:val="0"/>
          <w:numId w:val="3"/>
        </w:numPr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 xml:space="preserve">Note: there are now 7 consultative committees (‘Future Vision Roadmap’ </w:t>
      </w:r>
      <w:r w:rsidRPr="002A5CBC">
        <w:rPr>
          <w:rFonts w:ascii="Arial" w:hAnsi="Arial" w:cs="Arial"/>
          <w:b/>
          <w:smallCaps/>
          <w:sz w:val="32"/>
          <w:szCs w:val="32"/>
        </w:rPr>
        <w:t xml:space="preserve">and </w:t>
      </w:r>
      <w:r>
        <w:rPr>
          <w:rFonts w:ascii="Arial" w:hAnsi="Arial" w:cs="Arial"/>
          <w:b/>
          <w:smallCaps/>
          <w:sz w:val="32"/>
          <w:szCs w:val="32"/>
        </w:rPr>
        <w:t>‘</w:t>
      </w:r>
      <w:r w:rsidRPr="002A5CBC">
        <w:rPr>
          <w:rFonts w:ascii="Arial" w:eastAsia="Arial-BoldMT" w:hAnsi="Arial" w:cs="Arial"/>
          <w:b/>
          <w:bCs/>
          <w:color w:val="222222"/>
          <w:sz w:val="32"/>
          <w:szCs w:val="32"/>
        </w:rPr>
        <w:t>Risk Functionality and Processes</w:t>
      </w:r>
      <w:r>
        <w:rPr>
          <w:rFonts w:ascii="Arial" w:eastAsia="Arial-BoldMT" w:hAnsi="Arial" w:cs="Arial"/>
          <w:b/>
          <w:bCs/>
          <w:color w:val="222222"/>
          <w:sz w:val="32"/>
          <w:szCs w:val="32"/>
        </w:rPr>
        <w:t>’</w:t>
      </w:r>
      <w:r w:rsidRPr="002A5CBC">
        <w:rPr>
          <w:rFonts w:ascii="Arial" w:hAnsi="Arial" w:cs="Arial"/>
          <w:b/>
          <w:smallCaps/>
          <w:sz w:val="32"/>
          <w:szCs w:val="32"/>
        </w:rPr>
        <w:t xml:space="preserve"> have</w:t>
      </w:r>
      <w:r>
        <w:rPr>
          <w:rFonts w:ascii="Arial" w:hAnsi="Arial" w:cs="Arial"/>
          <w:b/>
          <w:smallCaps/>
          <w:sz w:val="32"/>
          <w:szCs w:val="32"/>
        </w:rPr>
        <w:t xml:space="preserve"> been added).</w:t>
      </w:r>
    </w:p>
    <w:p w:rsidR="002A5CBC" w:rsidRDefault="002A5CBC" w:rsidP="004D4B27">
      <w:pPr>
        <w:pStyle w:val="Header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2A5CBC" w:rsidRDefault="002A5CBC" w:rsidP="004D4B27">
      <w:pPr>
        <w:pStyle w:val="Header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2A5CBC" w:rsidRDefault="002A5CBC" w:rsidP="004D4B27">
      <w:pPr>
        <w:pStyle w:val="Header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2A5CBC" w:rsidRDefault="002A5CBC" w:rsidP="004D4B27">
      <w:pPr>
        <w:pStyle w:val="Header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BD7D2C" w:rsidRDefault="00BD7D2C" w:rsidP="004D4B27">
      <w:pPr>
        <w:pStyle w:val="Header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4D4B27" w:rsidRDefault="004D4B27" w:rsidP="004D4B27">
      <w:pPr>
        <w:pStyle w:val="Header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TMX Post-Trade Modernization Project</w:t>
      </w:r>
    </w:p>
    <w:p w:rsidR="004D4B27" w:rsidRPr="009A5D12" w:rsidRDefault="004D4B27" w:rsidP="004D4B27">
      <w:pPr>
        <w:pStyle w:val="Header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 xml:space="preserve">Advisory Council </w:t>
      </w:r>
      <w:bookmarkStart w:id="1" w:name="Mandate"/>
      <w:r>
        <w:rPr>
          <w:rFonts w:ascii="Arial" w:hAnsi="Arial" w:cs="Arial"/>
          <w:b/>
          <w:smallCaps/>
          <w:sz w:val="32"/>
          <w:szCs w:val="32"/>
        </w:rPr>
        <w:t>Mandate</w:t>
      </w:r>
      <w:bookmarkEnd w:id="1"/>
      <w:r w:rsidRPr="001A079E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4D4B27" w:rsidRDefault="004D4B27" w:rsidP="004D4B2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14682" w:rsidRPr="00DD46A9" w:rsidRDefault="00D14682" w:rsidP="00D14682">
      <w:pPr>
        <w:rPr>
          <w:rFonts w:ascii="Georgia" w:hAnsi="Georgia" w:cs="Arial"/>
          <w:b/>
          <w:bCs/>
          <w:color w:val="0000FF"/>
          <w:sz w:val="24"/>
          <w:szCs w:val="24"/>
        </w:rPr>
      </w:pPr>
      <w:r w:rsidRPr="00DD46A9">
        <w:rPr>
          <w:rFonts w:ascii="Georgia" w:hAnsi="Georgia" w:cs="Arial"/>
          <w:b/>
          <w:bCs/>
          <w:color w:val="0000FF"/>
          <w:sz w:val="24"/>
          <w:szCs w:val="24"/>
        </w:rPr>
        <w:t>Overview</w:t>
      </w:r>
    </w:p>
    <w:p w:rsidR="00D14682" w:rsidRPr="002807A2" w:rsidRDefault="00D14682" w:rsidP="00D1468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2807A2">
        <w:rPr>
          <w:rFonts w:ascii="Arial" w:eastAsia="Times New Roman" w:hAnsi="Arial" w:cs="Arial"/>
          <w:sz w:val="24"/>
          <w:szCs w:val="24"/>
        </w:rPr>
        <w:t>The Board of Directors of the Canadian Capital Markets Association (CCMA) has approved a CCMA initiative to support the investment industry in working with the TMX</w:t>
      </w:r>
      <w:r>
        <w:rPr>
          <w:rFonts w:ascii="Arial" w:eastAsia="Times New Roman" w:hAnsi="Arial" w:cs="Arial"/>
          <w:sz w:val="24"/>
          <w:szCs w:val="24"/>
        </w:rPr>
        <w:t>, including CDS and CDCC,</w:t>
      </w:r>
      <w:r w:rsidRPr="002807A2">
        <w:rPr>
          <w:rFonts w:ascii="Arial" w:eastAsia="Times New Roman" w:hAnsi="Arial" w:cs="Arial"/>
          <w:sz w:val="24"/>
          <w:szCs w:val="24"/>
        </w:rPr>
        <w:t xml:space="preserve"> to modernize its clearing and settlement systems, as well as its entitlement and corporate action systems.  The CCMA is a federally incorporated, not-for-profit organization, launched to identify, analyze and recommend ways to meet the challenges and opportunities facing Canadian and international capital markets</w:t>
      </w:r>
    </w:p>
    <w:p w:rsidR="00D14682" w:rsidRPr="002807A2" w:rsidRDefault="00D14682" w:rsidP="00D1468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E06144">
        <w:rPr>
          <w:rFonts w:ascii="Arial" w:eastAsia="Times New Roman" w:hAnsi="Arial" w:cs="Arial"/>
          <w:sz w:val="24"/>
          <w:szCs w:val="24"/>
        </w:rPr>
        <w:t xml:space="preserve">Due to </w:t>
      </w:r>
      <w:r w:rsidRPr="002807A2">
        <w:rPr>
          <w:rFonts w:ascii="Arial" w:eastAsia="Times New Roman" w:hAnsi="Arial" w:cs="Arial"/>
          <w:sz w:val="24"/>
          <w:szCs w:val="24"/>
        </w:rPr>
        <w:t xml:space="preserve">its </w:t>
      </w:r>
      <w:r w:rsidRPr="00E06144">
        <w:rPr>
          <w:rFonts w:ascii="Arial" w:eastAsia="Times New Roman" w:hAnsi="Arial" w:cs="Arial"/>
          <w:sz w:val="24"/>
          <w:szCs w:val="24"/>
        </w:rPr>
        <w:t>mandate to communicate, educate and help co-ordinate the investment industry on matters spanning multiple industry segments</w:t>
      </w:r>
      <w:r w:rsidRPr="002807A2">
        <w:rPr>
          <w:rFonts w:ascii="Arial" w:eastAsia="Times New Roman" w:hAnsi="Arial" w:cs="Arial"/>
          <w:sz w:val="24"/>
          <w:szCs w:val="24"/>
        </w:rPr>
        <w:t xml:space="preserve">, the CCMA was chosen to support </w:t>
      </w: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Pr="002807A2">
        <w:rPr>
          <w:rFonts w:ascii="Arial" w:eastAsia="Times New Roman" w:hAnsi="Arial" w:cs="Arial"/>
          <w:sz w:val="24"/>
          <w:szCs w:val="24"/>
        </w:rPr>
        <w:t xml:space="preserve">important </w:t>
      </w:r>
      <w:r>
        <w:rPr>
          <w:rFonts w:ascii="Arial" w:eastAsia="Times New Roman" w:hAnsi="Arial" w:cs="Arial"/>
          <w:sz w:val="24"/>
          <w:szCs w:val="24"/>
        </w:rPr>
        <w:t>TMX</w:t>
      </w:r>
      <w:r w:rsidRPr="00CB6BFB">
        <w:rPr>
          <w:rFonts w:ascii="Arial" w:eastAsia="Times New Roman" w:hAnsi="Arial" w:cs="Arial"/>
          <w:sz w:val="24"/>
          <w:szCs w:val="24"/>
        </w:rPr>
        <w:t xml:space="preserve"> </w:t>
      </w:r>
      <w:r w:rsidRPr="002807A2">
        <w:rPr>
          <w:rFonts w:ascii="Arial" w:eastAsia="Times New Roman" w:hAnsi="Arial" w:cs="Arial"/>
          <w:sz w:val="24"/>
          <w:szCs w:val="24"/>
        </w:rPr>
        <w:t>project</w:t>
      </w:r>
      <w:r w:rsidRPr="00E06144">
        <w:rPr>
          <w:rFonts w:ascii="Arial" w:eastAsia="Times New Roman" w:hAnsi="Arial" w:cs="Arial"/>
          <w:sz w:val="24"/>
          <w:szCs w:val="24"/>
        </w:rPr>
        <w:t>.  The</w:t>
      </w:r>
      <w:r w:rsidRPr="002807A2">
        <w:rPr>
          <w:rFonts w:ascii="Arial" w:eastAsia="Times New Roman" w:hAnsi="Arial" w:cs="Arial"/>
          <w:sz w:val="24"/>
          <w:szCs w:val="24"/>
        </w:rPr>
        <w:t xml:space="preserve">se systems are critical to Canadian capital markets because CDS is the hub connecting investment dealers, custodians, exchanges and other parts of Canada’s clearing and settlement infrastructure and, indirectly, the </w:t>
      </w:r>
      <w:r w:rsidR="00CF216F" w:rsidRPr="002807A2">
        <w:rPr>
          <w:rFonts w:ascii="Arial" w:eastAsia="Times New Roman" w:hAnsi="Arial" w:cs="Arial"/>
          <w:sz w:val="24"/>
          <w:szCs w:val="24"/>
        </w:rPr>
        <w:t>Buyside</w:t>
      </w:r>
      <w:r w:rsidRPr="002807A2">
        <w:rPr>
          <w:rFonts w:ascii="Arial" w:eastAsia="Times New Roman" w:hAnsi="Arial" w:cs="Arial"/>
          <w:sz w:val="24"/>
          <w:szCs w:val="24"/>
        </w:rPr>
        <w:t>, including pension plans, fund managers and others.  To help ensure a smooth transition to modernized systems, the CCMA is establishing a Post-Trade Modernization Advisory Council.</w:t>
      </w:r>
    </w:p>
    <w:p w:rsidR="00D14682" w:rsidRDefault="00D14682" w:rsidP="00D14682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D14682" w:rsidRPr="001A079E" w:rsidRDefault="00D14682" w:rsidP="00D14682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1A079E">
        <w:rPr>
          <w:rFonts w:ascii="Arial" w:hAnsi="Arial" w:cs="Arial"/>
          <w:b/>
          <w:bCs/>
          <w:color w:val="0000FF"/>
          <w:sz w:val="24"/>
          <w:szCs w:val="24"/>
        </w:rPr>
        <w:t>Composition</w:t>
      </w:r>
    </w:p>
    <w:p w:rsidR="00D14682" w:rsidRPr="002807A2" w:rsidRDefault="00D14682" w:rsidP="00D1468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2807A2">
        <w:rPr>
          <w:rFonts w:ascii="Arial" w:eastAsia="Times New Roman" w:hAnsi="Arial" w:cs="Arial"/>
          <w:sz w:val="24"/>
          <w:szCs w:val="24"/>
        </w:rPr>
        <w:t xml:space="preserve">The Advisory Council will be co-chaired by the CCMA’s Executive Director (Keith Evans) and Greg Holmes, Vice President, Capital Markets/Wealth Management Operations, at </w:t>
      </w:r>
      <w:r>
        <w:rPr>
          <w:rFonts w:ascii="Arial" w:eastAsia="Times New Roman" w:hAnsi="Arial" w:cs="Arial"/>
          <w:sz w:val="24"/>
          <w:szCs w:val="24"/>
        </w:rPr>
        <w:t>CIBC</w:t>
      </w:r>
      <w:r w:rsidRPr="002807A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14682" w:rsidRPr="002807A2" w:rsidRDefault="00D14682" w:rsidP="00D1468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2807A2">
        <w:rPr>
          <w:rFonts w:ascii="Arial" w:eastAsia="Times New Roman" w:hAnsi="Arial" w:cs="Arial"/>
          <w:sz w:val="24"/>
          <w:szCs w:val="24"/>
        </w:rPr>
        <w:t>Participation on the CCMA’s TSX/CDS Post-Trade Modernization Advisory Council is open to all CDS participant organizations, their service bureaus, and their vendors. Industry associations, SROs, buy-side firms, consultants, as well as regulators are also welcome to attend as ‘Observers’.</w:t>
      </w:r>
    </w:p>
    <w:p w:rsidR="00D14682" w:rsidRDefault="00D14682" w:rsidP="00D14682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D14682" w:rsidRDefault="00D14682" w:rsidP="00D14682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D14682" w:rsidRDefault="00D14682" w:rsidP="00D14682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D14682" w:rsidRPr="001A079E" w:rsidRDefault="00D14682" w:rsidP="00D14682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1A079E">
        <w:rPr>
          <w:rFonts w:ascii="Arial" w:hAnsi="Arial" w:cs="Arial"/>
          <w:b/>
          <w:bCs/>
          <w:color w:val="0000FF"/>
          <w:sz w:val="24"/>
          <w:szCs w:val="24"/>
        </w:rPr>
        <w:t>Reporting Structure</w:t>
      </w:r>
    </w:p>
    <w:p w:rsidR="00D14682" w:rsidRPr="001A079E" w:rsidRDefault="00D14682" w:rsidP="00D14682">
      <w:pPr>
        <w:rPr>
          <w:rFonts w:ascii="Arial" w:hAnsi="Arial" w:cs="Arial"/>
          <w:bCs/>
          <w:sz w:val="24"/>
          <w:szCs w:val="24"/>
        </w:rPr>
      </w:pPr>
      <w:r w:rsidRPr="001A079E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Advisory Council</w:t>
      </w:r>
      <w:r w:rsidRPr="001A079E">
        <w:rPr>
          <w:rFonts w:ascii="Arial" w:hAnsi="Arial" w:cs="Arial"/>
          <w:bCs/>
          <w:sz w:val="24"/>
          <w:szCs w:val="24"/>
        </w:rPr>
        <w:t xml:space="preserve"> reports to the CCMA </w:t>
      </w:r>
      <w:r>
        <w:rPr>
          <w:rFonts w:ascii="Arial" w:hAnsi="Arial" w:cs="Arial"/>
          <w:bCs/>
          <w:sz w:val="24"/>
          <w:szCs w:val="24"/>
        </w:rPr>
        <w:t>Board of Directors</w:t>
      </w:r>
      <w:r w:rsidRPr="001A079E">
        <w:rPr>
          <w:rFonts w:ascii="Arial" w:hAnsi="Arial" w:cs="Arial"/>
          <w:bCs/>
          <w:sz w:val="24"/>
          <w:szCs w:val="24"/>
        </w:rPr>
        <w:t xml:space="preserve"> via the </w:t>
      </w:r>
      <w:r>
        <w:rPr>
          <w:rFonts w:ascii="Arial" w:hAnsi="Arial" w:cs="Arial"/>
          <w:bCs/>
          <w:sz w:val="24"/>
          <w:szCs w:val="24"/>
        </w:rPr>
        <w:t>Executive Director/Co-Chair of the PTMP-AC</w:t>
      </w:r>
      <w:r w:rsidRPr="001A079E">
        <w:rPr>
          <w:rFonts w:ascii="Arial" w:hAnsi="Arial" w:cs="Arial"/>
          <w:bCs/>
          <w:sz w:val="24"/>
          <w:szCs w:val="24"/>
        </w:rPr>
        <w:t>.</w:t>
      </w:r>
    </w:p>
    <w:p w:rsidR="00D14682" w:rsidRPr="001A079E" w:rsidRDefault="00D14682" w:rsidP="00D14682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1A079E">
        <w:rPr>
          <w:rFonts w:ascii="Arial" w:hAnsi="Arial" w:cs="Arial"/>
          <w:b/>
          <w:bCs/>
          <w:color w:val="0000FF"/>
          <w:sz w:val="24"/>
          <w:szCs w:val="24"/>
        </w:rPr>
        <w:t>Responsibilities</w:t>
      </w:r>
    </w:p>
    <w:p w:rsidR="00D14682" w:rsidRPr="002807A2" w:rsidRDefault="00D14682" w:rsidP="00D1468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2807A2">
        <w:rPr>
          <w:rFonts w:ascii="Arial" w:eastAsia="Times New Roman" w:hAnsi="Arial" w:cs="Arial"/>
          <w:sz w:val="24"/>
          <w:szCs w:val="24"/>
        </w:rPr>
        <w:t xml:space="preserve">The terms of reference for the Post-Trade Modernization Advisory Council is to review and provide input to the </w:t>
      </w:r>
      <w:r>
        <w:rPr>
          <w:rFonts w:ascii="Arial" w:eastAsia="Times New Roman" w:hAnsi="Arial" w:cs="Arial"/>
          <w:sz w:val="24"/>
          <w:szCs w:val="24"/>
        </w:rPr>
        <w:t>TMX Post-Trade Modernization</w:t>
      </w:r>
      <w:r w:rsidRPr="002807A2">
        <w:rPr>
          <w:rFonts w:ascii="Arial" w:eastAsia="Times New Roman" w:hAnsi="Arial" w:cs="Arial"/>
          <w:sz w:val="24"/>
          <w:szCs w:val="24"/>
        </w:rPr>
        <w:t xml:space="preserve"> Oversight Committee</w:t>
      </w:r>
      <w:r>
        <w:rPr>
          <w:rFonts w:ascii="Arial" w:eastAsia="Times New Roman" w:hAnsi="Arial" w:cs="Arial"/>
          <w:sz w:val="24"/>
          <w:szCs w:val="24"/>
        </w:rPr>
        <w:t>, as well as the c</w:t>
      </w:r>
      <w:r w:rsidRPr="002807A2">
        <w:rPr>
          <w:rFonts w:ascii="Arial" w:eastAsia="Times New Roman" w:hAnsi="Arial" w:cs="Arial"/>
          <w:sz w:val="24"/>
          <w:szCs w:val="24"/>
        </w:rPr>
        <w:t>onsultative work streams, overseeing the Post-Trade Modernization Project. Specifically, Council members will:</w:t>
      </w:r>
    </w:p>
    <w:p w:rsidR="00D14682" w:rsidRPr="002807A2" w:rsidRDefault="00D14682" w:rsidP="009058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Arial" w:eastAsia="Times New Roman" w:hAnsi="Arial" w:cs="Arial"/>
          <w:sz w:val="24"/>
          <w:szCs w:val="24"/>
        </w:rPr>
      </w:pPr>
      <w:r w:rsidRPr="002807A2">
        <w:rPr>
          <w:rFonts w:ascii="Arial" w:eastAsia="Times New Roman" w:hAnsi="Arial" w:cs="Arial"/>
          <w:sz w:val="24"/>
          <w:szCs w:val="24"/>
        </w:rPr>
        <w:t>review all material documents related to the project</w:t>
      </w:r>
    </w:p>
    <w:p w:rsidR="00D14682" w:rsidRPr="002807A2" w:rsidRDefault="00D14682" w:rsidP="00D14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Arial" w:eastAsia="Times New Roman" w:hAnsi="Arial" w:cs="Arial"/>
          <w:sz w:val="24"/>
          <w:szCs w:val="24"/>
        </w:rPr>
      </w:pPr>
      <w:r w:rsidRPr="002807A2">
        <w:rPr>
          <w:rFonts w:ascii="Arial" w:eastAsia="Times New Roman" w:hAnsi="Arial" w:cs="Arial"/>
          <w:sz w:val="24"/>
          <w:szCs w:val="24"/>
        </w:rPr>
        <w:t>identify issues arising in any area of the project that will have a material impact on transaction processing</w:t>
      </w:r>
    </w:p>
    <w:p w:rsidR="00D14682" w:rsidRPr="002807A2" w:rsidRDefault="00D14682" w:rsidP="00D14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Arial" w:eastAsia="Times New Roman" w:hAnsi="Arial" w:cs="Arial"/>
          <w:sz w:val="24"/>
          <w:szCs w:val="24"/>
        </w:rPr>
      </w:pPr>
      <w:r w:rsidRPr="002807A2">
        <w:rPr>
          <w:rFonts w:ascii="Arial" w:eastAsia="Times New Roman" w:hAnsi="Arial" w:cs="Arial"/>
          <w:sz w:val="24"/>
          <w:szCs w:val="24"/>
        </w:rPr>
        <w:t>assess/propose solution(s) to the above</w:t>
      </w:r>
    </w:p>
    <w:p w:rsidR="00D14682" w:rsidRPr="002807A2" w:rsidRDefault="00D14682" w:rsidP="00D14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Arial" w:eastAsia="Times New Roman" w:hAnsi="Arial" w:cs="Arial"/>
          <w:sz w:val="24"/>
          <w:szCs w:val="24"/>
        </w:rPr>
      </w:pPr>
      <w:r w:rsidRPr="002807A2">
        <w:rPr>
          <w:rFonts w:ascii="Arial" w:eastAsia="Times New Roman" w:hAnsi="Arial" w:cs="Arial"/>
          <w:sz w:val="24"/>
          <w:szCs w:val="24"/>
        </w:rPr>
        <w:t>gain industry agreement where required</w:t>
      </w:r>
    </w:p>
    <w:p w:rsidR="00D14682" w:rsidRPr="002807A2" w:rsidRDefault="00D14682" w:rsidP="00D14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Arial" w:eastAsia="Times New Roman" w:hAnsi="Arial" w:cs="Arial"/>
          <w:sz w:val="24"/>
          <w:szCs w:val="24"/>
        </w:rPr>
      </w:pPr>
      <w:r w:rsidRPr="002807A2">
        <w:rPr>
          <w:rFonts w:ascii="Arial" w:eastAsia="Times New Roman" w:hAnsi="Arial" w:cs="Arial"/>
          <w:sz w:val="24"/>
          <w:szCs w:val="24"/>
        </w:rPr>
        <w:t>identify rule changes, if any</w:t>
      </w:r>
    </w:p>
    <w:p w:rsidR="00D14682" w:rsidRPr="002807A2" w:rsidRDefault="00D14682" w:rsidP="00D14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Arial" w:eastAsia="Times New Roman" w:hAnsi="Arial" w:cs="Arial"/>
          <w:sz w:val="24"/>
          <w:szCs w:val="24"/>
        </w:rPr>
      </w:pPr>
      <w:r w:rsidRPr="002807A2">
        <w:rPr>
          <w:rFonts w:ascii="Arial" w:eastAsia="Times New Roman" w:hAnsi="Arial" w:cs="Arial"/>
          <w:sz w:val="24"/>
          <w:szCs w:val="24"/>
        </w:rPr>
        <w:t>identify procedural changes, if any</w:t>
      </w:r>
    </w:p>
    <w:p w:rsidR="00D14682" w:rsidRPr="002807A2" w:rsidRDefault="00D14682" w:rsidP="00D14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Arial" w:eastAsia="Times New Roman" w:hAnsi="Arial" w:cs="Arial"/>
          <w:sz w:val="24"/>
          <w:szCs w:val="24"/>
        </w:rPr>
      </w:pPr>
      <w:r w:rsidRPr="002807A2">
        <w:rPr>
          <w:rFonts w:ascii="Arial" w:eastAsia="Times New Roman" w:hAnsi="Arial" w:cs="Arial"/>
          <w:sz w:val="24"/>
          <w:szCs w:val="24"/>
        </w:rPr>
        <w:t>identify vendor changes as a result of changes identified above</w:t>
      </w:r>
    </w:p>
    <w:p w:rsidR="00D14682" w:rsidRPr="002807A2" w:rsidRDefault="00D14682" w:rsidP="00D14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Arial" w:eastAsia="Times New Roman" w:hAnsi="Arial" w:cs="Arial"/>
          <w:sz w:val="24"/>
          <w:szCs w:val="24"/>
        </w:rPr>
      </w:pPr>
      <w:r w:rsidRPr="002807A2">
        <w:rPr>
          <w:rFonts w:ascii="Arial" w:eastAsia="Times New Roman" w:hAnsi="Arial" w:cs="Arial"/>
          <w:sz w:val="24"/>
          <w:szCs w:val="24"/>
        </w:rPr>
        <w:t>comment on timelines</w:t>
      </w:r>
    </w:p>
    <w:p w:rsidR="00D14682" w:rsidRPr="002807A2" w:rsidRDefault="00D14682" w:rsidP="00D14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Arial" w:eastAsia="Times New Roman" w:hAnsi="Arial" w:cs="Arial"/>
          <w:sz w:val="24"/>
          <w:szCs w:val="24"/>
        </w:rPr>
      </w:pPr>
      <w:r w:rsidRPr="002807A2">
        <w:rPr>
          <w:rFonts w:ascii="Arial" w:eastAsia="Times New Roman" w:hAnsi="Arial" w:cs="Arial"/>
          <w:sz w:val="24"/>
          <w:szCs w:val="24"/>
        </w:rPr>
        <w:t>coordinate activities to complete tasks the Council identifies</w:t>
      </w:r>
    </w:p>
    <w:p w:rsidR="00D14682" w:rsidRPr="002807A2" w:rsidRDefault="00D14682" w:rsidP="009058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Arial" w:eastAsia="Times New Roman" w:hAnsi="Arial" w:cs="Arial"/>
          <w:sz w:val="24"/>
          <w:szCs w:val="24"/>
        </w:rPr>
      </w:pPr>
      <w:proofErr w:type="gramStart"/>
      <w:r w:rsidRPr="002807A2">
        <w:rPr>
          <w:rFonts w:ascii="Arial" w:eastAsia="Times New Roman" w:hAnsi="Arial" w:cs="Arial"/>
          <w:sz w:val="24"/>
          <w:szCs w:val="24"/>
        </w:rPr>
        <w:t>communicate</w:t>
      </w:r>
      <w:proofErr w:type="gramEnd"/>
      <w:r w:rsidRPr="002807A2">
        <w:rPr>
          <w:rFonts w:ascii="Arial" w:eastAsia="Times New Roman" w:hAnsi="Arial" w:cs="Arial"/>
          <w:sz w:val="24"/>
          <w:szCs w:val="24"/>
        </w:rPr>
        <w:t xml:space="preserve"> with, and educate the broader investment community as required.</w:t>
      </w:r>
    </w:p>
    <w:p w:rsidR="00D14682" w:rsidRPr="001A079E" w:rsidRDefault="00D14682" w:rsidP="00D14682">
      <w:pPr>
        <w:pStyle w:val="NoSpacing"/>
        <w:rPr>
          <w:rFonts w:ascii="Arial" w:hAnsi="Arial" w:cs="Arial"/>
          <w:sz w:val="24"/>
          <w:szCs w:val="24"/>
        </w:rPr>
      </w:pPr>
    </w:p>
    <w:p w:rsidR="00D14682" w:rsidRPr="001A079E" w:rsidRDefault="00D14682" w:rsidP="00D14682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1A079E">
        <w:rPr>
          <w:rFonts w:ascii="Arial" w:hAnsi="Arial" w:cs="Arial"/>
          <w:b/>
          <w:bCs/>
          <w:color w:val="0000FF"/>
          <w:sz w:val="24"/>
          <w:szCs w:val="24"/>
        </w:rPr>
        <w:t>Governance</w:t>
      </w:r>
    </w:p>
    <w:p w:rsidR="00D14682" w:rsidRPr="001A079E" w:rsidRDefault="00D14682" w:rsidP="00D14682">
      <w:pPr>
        <w:rPr>
          <w:rFonts w:ascii="Arial" w:hAnsi="Arial" w:cs="Arial"/>
          <w:bCs/>
          <w:sz w:val="24"/>
          <w:szCs w:val="24"/>
        </w:rPr>
      </w:pPr>
      <w:r w:rsidRPr="001A079E">
        <w:rPr>
          <w:rFonts w:ascii="Arial" w:hAnsi="Arial" w:cs="Arial"/>
          <w:bCs/>
          <w:sz w:val="24"/>
          <w:szCs w:val="24"/>
        </w:rPr>
        <w:t xml:space="preserve">Meetings will be called by </w:t>
      </w:r>
      <w:r>
        <w:rPr>
          <w:rFonts w:ascii="Arial" w:hAnsi="Arial" w:cs="Arial"/>
          <w:bCs/>
          <w:sz w:val="24"/>
          <w:szCs w:val="24"/>
        </w:rPr>
        <w:t>one of the</w:t>
      </w:r>
      <w:r w:rsidRPr="001A079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Co-</w:t>
      </w:r>
      <w:r w:rsidRPr="001A079E">
        <w:rPr>
          <w:rFonts w:ascii="Arial" w:hAnsi="Arial" w:cs="Arial"/>
          <w:bCs/>
          <w:sz w:val="24"/>
          <w:szCs w:val="24"/>
        </w:rPr>
        <w:t>Chair</w:t>
      </w:r>
      <w:r>
        <w:rPr>
          <w:rFonts w:ascii="Arial" w:hAnsi="Arial" w:cs="Arial"/>
          <w:bCs/>
          <w:sz w:val="24"/>
          <w:szCs w:val="24"/>
        </w:rPr>
        <w:t>s</w:t>
      </w:r>
      <w:r w:rsidRPr="001A079E">
        <w:rPr>
          <w:rFonts w:ascii="Arial" w:hAnsi="Arial" w:cs="Arial"/>
          <w:bCs/>
          <w:sz w:val="24"/>
          <w:szCs w:val="24"/>
        </w:rPr>
        <w:t xml:space="preserve">.  Notices calling meetings and agendas will be sent to all </w:t>
      </w:r>
      <w:r>
        <w:rPr>
          <w:rFonts w:ascii="Arial" w:hAnsi="Arial" w:cs="Arial"/>
          <w:bCs/>
          <w:sz w:val="24"/>
          <w:szCs w:val="24"/>
        </w:rPr>
        <w:t>PTMP-AC</w:t>
      </w:r>
      <w:r w:rsidRPr="001A079E">
        <w:rPr>
          <w:rFonts w:ascii="Arial" w:hAnsi="Arial" w:cs="Arial"/>
          <w:bCs/>
          <w:sz w:val="24"/>
          <w:szCs w:val="24"/>
        </w:rPr>
        <w:t xml:space="preserve"> members</w:t>
      </w:r>
      <w:r>
        <w:rPr>
          <w:rFonts w:ascii="Arial" w:hAnsi="Arial" w:cs="Arial"/>
          <w:bCs/>
          <w:sz w:val="24"/>
          <w:szCs w:val="24"/>
        </w:rPr>
        <w:t>/observers</w:t>
      </w:r>
      <w:r w:rsidRPr="001A079E">
        <w:rPr>
          <w:rFonts w:ascii="Arial" w:hAnsi="Arial" w:cs="Arial"/>
          <w:bCs/>
          <w:sz w:val="24"/>
          <w:szCs w:val="24"/>
        </w:rPr>
        <w:t xml:space="preserve">.  Meetings will be minuted and attendance recorded.  Meeting minutes will be tabled with the </w:t>
      </w:r>
      <w:r>
        <w:rPr>
          <w:rFonts w:ascii="Arial" w:hAnsi="Arial" w:cs="Arial"/>
          <w:bCs/>
          <w:sz w:val="24"/>
          <w:szCs w:val="24"/>
        </w:rPr>
        <w:t>PTMP-AC</w:t>
      </w:r>
      <w:r w:rsidRPr="001A079E">
        <w:rPr>
          <w:rFonts w:ascii="Arial" w:hAnsi="Arial" w:cs="Arial"/>
          <w:bCs/>
          <w:sz w:val="24"/>
          <w:szCs w:val="24"/>
        </w:rPr>
        <w:t xml:space="preserve"> for approval.  There is no set minimum quorum requirement for meetings.  Minutes and decisions of the </w:t>
      </w:r>
      <w:r>
        <w:rPr>
          <w:rFonts w:ascii="Arial" w:hAnsi="Arial" w:cs="Arial"/>
          <w:bCs/>
          <w:sz w:val="24"/>
          <w:szCs w:val="24"/>
        </w:rPr>
        <w:t>PTMP-AC</w:t>
      </w:r>
      <w:r w:rsidRPr="001A079E">
        <w:rPr>
          <w:rFonts w:ascii="Arial" w:hAnsi="Arial" w:cs="Arial"/>
          <w:bCs/>
          <w:sz w:val="24"/>
          <w:szCs w:val="24"/>
        </w:rPr>
        <w:t xml:space="preserve"> may be posted on the CCMA website.</w:t>
      </w:r>
    </w:p>
    <w:p w:rsidR="00D14682" w:rsidRDefault="00D14682" w:rsidP="004D4B2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F216F" w:rsidRDefault="00CF216F" w:rsidP="004D4B2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F216F" w:rsidRDefault="00CF216F" w:rsidP="004D4B2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F216F" w:rsidRDefault="00CF216F" w:rsidP="00CF216F">
      <w:pPr>
        <w:jc w:val="center"/>
        <w:rPr>
          <w:rFonts w:ascii="Arial" w:hAnsi="Arial" w:cs="Arial"/>
          <w:b/>
          <w:sz w:val="32"/>
          <w:szCs w:val="32"/>
        </w:rPr>
      </w:pPr>
      <w:r w:rsidRPr="00C103B7">
        <w:rPr>
          <w:rFonts w:ascii="Arial" w:hAnsi="Arial" w:cs="Arial"/>
          <w:b/>
          <w:sz w:val="32"/>
          <w:szCs w:val="32"/>
        </w:rPr>
        <w:t>Proposed T</w:t>
      </w:r>
      <w:r>
        <w:rPr>
          <w:rFonts w:ascii="Arial" w:hAnsi="Arial" w:cs="Arial"/>
          <w:b/>
          <w:sz w:val="32"/>
          <w:szCs w:val="32"/>
        </w:rPr>
        <w:t>MX Post-Trade Modernization Project</w:t>
      </w:r>
    </w:p>
    <w:p w:rsidR="00CF216F" w:rsidRPr="00C103B7" w:rsidRDefault="00CF216F" w:rsidP="00CF21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Advisory Council</w:t>
      </w:r>
      <w:r w:rsidRPr="00C103B7">
        <w:rPr>
          <w:rFonts w:ascii="Arial" w:hAnsi="Arial" w:cs="Arial"/>
          <w:b/>
          <w:sz w:val="32"/>
          <w:szCs w:val="32"/>
        </w:rPr>
        <w:t xml:space="preserve"> </w:t>
      </w:r>
      <w:bookmarkStart w:id="2" w:name="Membership"/>
      <w:r w:rsidRPr="00C103B7">
        <w:rPr>
          <w:rFonts w:ascii="Arial" w:hAnsi="Arial" w:cs="Arial"/>
          <w:b/>
          <w:sz w:val="32"/>
          <w:szCs w:val="32"/>
        </w:rPr>
        <w:t>Membership List</w:t>
      </w:r>
      <w:bookmarkEnd w:id="2"/>
    </w:p>
    <w:p w:rsidR="00CF216F" w:rsidRPr="005C65FF" w:rsidRDefault="00CF216F" w:rsidP="00CF21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Broker-Dealers/Banks</w:t>
      </w:r>
    </w:p>
    <w:p w:rsidR="00CF216F" w:rsidRPr="00C103B7" w:rsidRDefault="00CF216F" w:rsidP="00CF216F">
      <w:pPr>
        <w:rPr>
          <w:rFonts w:ascii="Arial" w:hAnsi="Arial" w:cs="Arial"/>
          <w:sz w:val="24"/>
          <w:szCs w:val="24"/>
        </w:rPr>
      </w:pPr>
      <w:r w:rsidRPr="00C103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Greg Holmes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CIBC</w:t>
      </w:r>
    </w:p>
    <w:p w:rsidR="00CF216F" w:rsidRPr="00DE0245" w:rsidRDefault="00CF216F" w:rsidP="00CF216F">
      <w:pPr>
        <w:rPr>
          <w:rFonts w:ascii="Arial" w:hAnsi="Arial" w:cs="Arial"/>
          <w:sz w:val="24"/>
          <w:szCs w:val="24"/>
          <w:lang w:val="fr-CA"/>
        </w:rPr>
      </w:pPr>
      <w:r w:rsidRPr="00C103B7">
        <w:rPr>
          <w:rFonts w:ascii="Arial" w:hAnsi="Arial" w:cs="Arial"/>
          <w:sz w:val="24"/>
          <w:szCs w:val="24"/>
        </w:rPr>
        <w:tab/>
      </w:r>
      <w:r w:rsidRPr="00DE0245">
        <w:rPr>
          <w:rFonts w:ascii="Arial" w:hAnsi="Arial" w:cs="Arial"/>
          <w:sz w:val="24"/>
          <w:szCs w:val="24"/>
          <w:lang w:val="fr-CA"/>
        </w:rPr>
        <w:t>Brenda McIntyre</w:t>
      </w:r>
      <w:r w:rsidRPr="00DE0245">
        <w:rPr>
          <w:rFonts w:ascii="Arial" w:hAnsi="Arial" w:cs="Arial"/>
          <w:sz w:val="24"/>
          <w:szCs w:val="24"/>
          <w:lang w:val="fr-CA"/>
        </w:rPr>
        <w:tab/>
      </w:r>
      <w:r w:rsidRPr="00DE0245">
        <w:rPr>
          <w:rFonts w:ascii="Arial" w:hAnsi="Arial" w:cs="Arial"/>
          <w:sz w:val="24"/>
          <w:szCs w:val="24"/>
          <w:lang w:val="fr-CA"/>
        </w:rPr>
        <w:tab/>
        <w:t>Canaccord</w:t>
      </w:r>
    </w:p>
    <w:p w:rsidR="00CF216F" w:rsidRPr="00DE0245" w:rsidRDefault="00CF216F" w:rsidP="00CF216F">
      <w:pPr>
        <w:ind w:firstLine="720"/>
        <w:rPr>
          <w:rFonts w:ascii="Arial" w:hAnsi="Arial" w:cs="Arial"/>
          <w:sz w:val="24"/>
          <w:szCs w:val="24"/>
          <w:lang w:val="fr-CA"/>
        </w:rPr>
      </w:pPr>
      <w:r w:rsidRPr="00DE0245">
        <w:rPr>
          <w:rFonts w:ascii="Arial" w:hAnsi="Arial" w:cs="Arial"/>
          <w:sz w:val="24"/>
          <w:szCs w:val="24"/>
          <w:lang w:val="fr-CA"/>
        </w:rPr>
        <w:t>Deborah Carlyle</w:t>
      </w:r>
      <w:r w:rsidRPr="00DE0245">
        <w:rPr>
          <w:rFonts w:ascii="Arial" w:hAnsi="Arial" w:cs="Arial"/>
          <w:sz w:val="24"/>
          <w:szCs w:val="24"/>
          <w:lang w:val="fr-CA"/>
        </w:rPr>
        <w:tab/>
      </w:r>
      <w:r w:rsidRPr="00DE0245">
        <w:rPr>
          <w:rFonts w:ascii="Arial" w:hAnsi="Arial" w:cs="Arial"/>
          <w:sz w:val="24"/>
          <w:szCs w:val="24"/>
          <w:lang w:val="fr-CA"/>
        </w:rPr>
        <w:tab/>
        <w:t>BBS</w:t>
      </w:r>
    </w:p>
    <w:p w:rsidR="00CF216F" w:rsidRPr="00DE0245" w:rsidRDefault="00CF216F" w:rsidP="00CF216F">
      <w:pPr>
        <w:ind w:firstLine="720"/>
        <w:rPr>
          <w:rFonts w:ascii="Arial" w:hAnsi="Arial" w:cs="Arial"/>
          <w:sz w:val="24"/>
          <w:szCs w:val="24"/>
          <w:lang w:val="fr-CA"/>
        </w:rPr>
      </w:pPr>
      <w:r w:rsidRPr="00DE0245">
        <w:rPr>
          <w:rFonts w:ascii="Arial" w:hAnsi="Arial" w:cs="Arial"/>
          <w:sz w:val="24"/>
          <w:szCs w:val="24"/>
          <w:lang w:val="fr-CA"/>
        </w:rPr>
        <w:t>Pierre Mital</w:t>
      </w:r>
      <w:r w:rsidRPr="00DE0245">
        <w:rPr>
          <w:rFonts w:ascii="Arial" w:hAnsi="Arial" w:cs="Arial"/>
          <w:sz w:val="24"/>
          <w:szCs w:val="24"/>
          <w:lang w:val="fr-CA"/>
        </w:rPr>
        <w:tab/>
      </w:r>
      <w:r w:rsidRPr="00DE0245">
        <w:rPr>
          <w:rFonts w:ascii="Arial" w:hAnsi="Arial" w:cs="Arial"/>
          <w:sz w:val="24"/>
          <w:szCs w:val="24"/>
          <w:lang w:val="fr-CA"/>
        </w:rPr>
        <w:tab/>
      </w:r>
      <w:r w:rsidRPr="00DE0245">
        <w:rPr>
          <w:rFonts w:ascii="Arial" w:hAnsi="Arial" w:cs="Arial"/>
          <w:sz w:val="24"/>
          <w:szCs w:val="24"/>
          <w:lang w:val="fr-CA"/>
        </w:rPr>
        <w:tab/>
        <w:t>Casgrain</w:t>
      </w:r>
    </w:p>
    <w:p w:rsidR="00CF216F" w:rsidRPr="00DE0245" w:rsidRDefault="00CF216F" w:rsidP="00CF216F">
      <w:pPr>
        <w:rPr>
          <w:rFonts w:ascii="Arial" w:hAnsi="Arial" w:cs="Arial"/>
          <w:sz w:val="24"/>
          <w:szCs w:val="24"/>
          <w:lang w:val="fr-CA"/>
        </w:rPr>
      </w:pPr>
      <w:r w:rsidRPr="00DE0245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</w:rPr>
        <w:t>Sam F</w:t>
      </w:r>
      <w:r w:rsidR="00DE0245">
        <w:rPr>
          <w:rFonts w:ascii="Arial" w:hAnsi="Arial" w:cs="Arial"/>
          <w:sz w:val="24"/>
          <w:szCs w:val="24"/>
        </w:rPr>
        <w:t>a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rrell</w:t>
      </w:r>
      <w:r w:rsidRPr="00DE0245">
        <w:rPr>
          <w:rFonts w:ascii="Arial" w:hAnsi="Arial" w:cs="Arial"/>
          <w:sz w:val="24"/>
          <w:szCs w:val="24"/>
          <w:lang w:val="fr-CA"/>
        </w:rPr>
        <w:tab/>
      </w:r>
      <w:r w:rsidRPr="00DE0245">
        <w:rPr>
          <w:rFonts w:ascii="Arial" w:hAnsi="Arial" w:cs="Arial"/>
          <w:sz w:val="24"/>
          <w:szCs w:val="24"/>
          <w:lang w:val="fr-CA"/>
        </w:rPr>
        <w:tab/>
      </w:r>
      <w:r w:rsidRPr="00DE0245">
        <w:rPr>
          <w:rFonts w:ascii="Arial" w:hAnsi="Arial" w:cs="Arial"/>
          <w:sz w:val="24"/>
          <w:szCs w:val="24"/>
          <w:lang w:val="fr-CA"/>
        </w:rPr>
        <w:tab/>
      </w:r>
      <w:proofErr w:type="spellStart"/>
      <w:r w:rsidRPr="00DE0245">
        <w:rPr>
          <w:rFonts w:ascii="Arial" w:hAnsi="Arial" w:cs="Arial"/>
          <w:sz w:val="24"/>
          <w:szCs w:val="24"/>
          <w:lang w:val="fr-CA"/>
        </w:rPr>
        <w:t>Credit</w:t>
      </w:r>
      <w:proofErr w:type="spellEnd"/>
      <w:r w:rsidRPr="00DE0245">
        <w:rPr>
          <w:rFonts w:ascii="Arial" w:hAnsi="Arial" w:cs="Arial"/>
          <w:sz w:val="24"/>
          <w:szCs w:val="24"/>
          <w:lang w:val="fr-CA"/>
        </w:rPr>
        <w:t xml:space="preserve"> Suisse</w:t>
      </w:r>
    </w:p>
    <w:p w:rsidR="00CF216F" w:rsidRPr="00DE0245" w:rsidRDefault="00CF216F" w:rsidP="00CF216F">
      <w:pPr>
        <w:rPr>
          <w:rFonts w:ascii="Arial" w:hAnsi="Arial" w:cs="Arial"/>
          <w:sz w:val="24"/>
          <w:szCs w:val="24"/>
          <w:lang w:val="fr-CA"/>
        </w:rPr>
      </w:pPr>
      <w:r w:rsidRPr="00DE0245">
        <w:rPr>
          <w:rFonts w:ascii="Arial" w:hAnsi="Arial" w:cs="Arial"/>
          <w:sz w:val="24"/>
          <w:szCs w:val="24"/>
          <w:lang w:val="fr-CA"/>
        </w:rPr>
        <w:tab/>
        <w:t>Nelson Dugre-Sasserville</w:t>
      </w:r>
      <w:r w:rsidRPr="00DE0245">
        <w:rPr>
          <w:rFonts w:ascii="Arial" w:hAnsi="Arial" w:cs="Arial"/>
          <w:sz w:val="24"/>
          <w:szCs w:val="24"/>
          <w:lang w:val="fr-CA"/>
        </w:rPr>
        <w:tab/>
        <w:t>NBC</w:t>
      </w:r>
    </w:p>
    <w:p w:rsidR="00CF216F" w:rsidRPr="00DE0245" w:rsidRDefault="00CF216F" w:rsidP="00CF216F">
      <w:pPr>
        <w:rPr>
          <w:rFonts w:ascii="Arial" w:hAnsi="Arial" w:cs="Arial"/>
          <w:sz w:val="24"/>
          <w:szCs w:val="24"/>
          <w:lang w:val="fr-CA"/>
        </w:rPr>
      </w:pPr>
    </w:p>
    <w:p w:rsidR="00CF216F" w:rsidRPr="005C65FF" w:rsidRDefault="00CF216F" w:rsidP="00CF216F">
      <w:pPr>
        <w:rPr>
          <w:rFonts w:ascii="Arial" w:hAnsi="Arial" w:cs="Arial"/>
          <w:b/>
          <w:sz w:val="24"/>
          <w:szCs w:val="24"/>
        </w:rPr>
      </w:pPr>
      <w:r w:rsidRPr="005C65FF">
        <w:rPr>
          <w:rFonts w:ascii="Arial" w:hAnsi="Arial" w:cs="Arial"/>
          <w:b/>
          <w:sz w:val="24"/>
          <w:szCs w:val="24"/>
        </w:rPr>
        <w:t>Custodian</w:t>
      </w:r>
      <w:r>
        <w:rPr>
          <w:rFonts w:ascii="Arial" w:hAnsi="Arial" w:cs="Arial"/>
          <w:b/>
          <w:sz w:val="24"/>
          <w:szCs w:val="24"/>
        </w:rPr>
        <w:t>s</w:t>
      </w:r>
    </w:p>
    <w:p w:rsidR="00CF216F" w:rsidRPr="00C103B7" w:rsidRDefault="00CF216F" w:rsidP="00CF216F">
      <w:pPr>
        <w:rPr>
          <w:rFonts w:ascii="Arial" w:hAnsi="Arial" w:cs="Arial"/>
          <w:sz w:val="24"/>
          <w:szCs w:val="24"/>
        </w:rPr>
      </w:pPr>
      <w:r w:rsidRPr="00C103B7">
        <w:rPr>
          <w:rFonts w:ascii="Arial" w:hAnsi="Arial" w:cs="Arial"/>
          <w:sz w:val="24"/>
          <w:szCs w:val="24"/>
        </w:rPr>
        <w:tab/>
        <w:t>Louis Lesnika</w:t>
      </w:r>
      <w:r w:rsidRPr="00C103B7">
        <w:rPr>
          <w:rFonts w:ascii="Arial" w:hAnsi="Arial" w:cs="Arial"/>
          <w:sz w:val="24"/>
          <w:szCs w:val="24"/>
        </w:rPr>
        <w:tab/>
      </w:r>
      <w:r w:rsidRPr="00C103B7">
        <w:rPr>
          <w:rFonts w:ascii="Arial" w:hAnsi="Arial" w:cs="Arial"/>
          <w:sz w:val="24"/>
          <w:szCs w:val="24"/>
        </w:rPr>
        <w:tab/>
        <w:t>CIBC Mellon</w:t>
      </w:r>
    </w:p>
    <w:p w:rsidR="00CF216F" w:rsidRPr="00C103B7" w:rsidRDefault="00CF216F" w:rsidP="00CF216F">
      <w:pPr>
        <w:rPr>
          <w:rFonts w:ascii="Arial" w:hAnsi="Arial" w:cs="Arial"/>
          <w:sz w:val="24"/>
          <w:szCs w:val="24"/>
        </w:rPr>
      </w:pPr>
      <w:r w:rsidRPr="00C103B7">
        <w:rPr>
          <w:rFonts w:ascii="Arial" w:hAnsi="Arial" w:cs="Arial"/>
          <w:sz w:val="24"/>
          <w:szCs w:val="24"/>
        </w:rPr>
        <w:tab/>
        <w:t>Domenic Sgambelluri</w:t>
      </w:r>
      <w:r w:rsidRPr="00C103B7">
        <w:rPr>
          <w:rFonts w:ascii="Arial" w:hAnsi="Arial" w:cs="Arial"/>
          <w:sz w:val="24"/>
          <w:szCs w:val="24"/>
        </w:rPr>
        <w:tab/>
        <w:t>Northern Trust</w:t>
      </w:r>
    </w:p>
    <w:p w:rsidR="00CF216F" w:rsidRPr="00C103B7" w:rsidRDefault="00CF216F" w:rsidP="00CF216F">
      <w:pPr>
        <w:rPr>
          <w:rFonts w:ascii="Arial" w:hAnsi="Arial" w:cs="Arial"/>
          <w:sz w:val="24"/>
          <w:szCs w:val="24"/>
        </w:rPr>
      </w:pPr>
      <w:r w:rsidRPr="00C103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Chris Strong</w:t>
      </w:r>
      <w:r w:rsidRPr="00C103B7">
        <w:rPr>
          <w:rFonts w:ascii="Arial" w:hAnsi="Arial" w:cs="Arial"/>
          <w:sz w:val="24"/>
          <w:szCs w:val="24"/>
        </w:rPr>
        <w:tab/>
      </w:r>
      <w:r w:rsidRPr="00C103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03B7">
        <w:rPr>
          <w:rFonts w:ascii="Arial" w:hAnsi="Arial" w:cs="Arial"/>
          <w:sz w:val="24"/>
          <w:szCs w:val="24"/>
        </w:rPr>
        <w:t>RBC Investor Services</w:t>
      </w:r>
    </w:p>
    <w:p w:rsidR="00CF216F" w:rsidRPr="00C103B7" w:rsidRDefault="00CF216F" w:rsidP="00CF216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Maggie Salisbury</w:t>
      </w:r>
      <w:r w:rsidRPr="00C103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03B7">
        <w:rPr>
          <w:rFonts w:ascii="Arial" w:hAnsi="Arial" w:cs="Arial"/>
          <w:sz w:val="24"/>
          <w:szCs w:val="24"/>
        </w:rPr>
        <w:t>Statestreet</w:t>
      </w:r>
    </w:p>
    <w:p w:rsidR="00CF216F" w:rsidRPr="00C103B7" w:rsidRDefault="00CF216F" w:rsidP="00CF216F">
      <w:pPr>
        <w:rPr>
          <w:rFonts w:ascii="Arial" w:hAnsi="Arial" w:cs="Arial"/>
          <w:sz w:val="24"/>
          <w:szCs w:val="24"/>
        </w:rPr>
      </w:pPr>
    </w:p>
    <w:p w:rsidR="009E24F6" w:rsidRPr="005C65FF" w:rsidRDefault="009E24F6" w:rsidP="009E24F6">
      <w:pPr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Transfer Agents</w:t>
      </w:r>
      <w:r>
        <w:rPr>
          <w:rFonts w:ascii="Arial" w:hAnsi="Arial" w:cs="Arial"/>
          <w:b/>
          <w:sz w:val="24"/>
          <w:szCs w:val="24"/>
        </w:rPr>
        <w:tab/>
      </w:r>
    </w:p>
    <w:p w:rsidR="009E24F6" w:rsidRPr="00C103B7" w:rsidRDefault="009E24F6" w:rsidP="009E24F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McLaughlin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Computershare</w:t>
      </w:r>
    </w:p>
    <w:p w:rsidR="00CF216F" w:rsidRPr="00C103B7" w:rsidRDefault="00CF216F" w:rsidP="00CF216F">
      <w:pPr>
        <w:ind w:firstLine="720"/>
        <w:rPr>
          <w:rFonts w:ascii="Arial" w:hAnsi="Arial" w:cs="Arial"/>
          <w:sz w:val="24"/>
          <w:szCs w:val="24"/>
        </w:rPr>
      </w:pPr>
    </w:p>
    <w:p w:rsidR="00CF216F" w:rsidRPr="005C65FF" w:rsidRDefault="00CF216F" w:rsidP="00CF216F">
      <w:pPr>
        <w:rPr>
          <w:rFonts w:ascii="Arial" w:hAnsi="Arial" w:cs="Arial"/>
          <w:b/>
          <w:sz w:val="24"/>
          <w:szCs w:val="24"/>
        </w:rPr>
      </w:pPr>
      <w:r w:rsidRPr="005C65FF">
        <w:rPr>
          <w:rFonts w:ascii="Arial" w:hAnsi="Arial" w:cs="Arial"/>
          <w:b/>
          <w:sz w:val="24"/>
          <w:szCs w:val="24"/>
        </w:rPr>
        <w:t>Other</w:t>
      </w:r>
    </w:p>
    <w:p w:rsidR="00CF216F" w:rsidRDefault="00CF216F" w:rsidP="00CF216F">
      <w:pPr>
        <w:rPr>
          <w:rFonts w:ascii="Arial" w:hAnsi="Arial" w:cs="Arial"/>
          <w:sz w:val="24"/>
          <w:szCs w:val="24"/>
        </w:rPr>
      </w:pPr>
      <w:r w:rsidRPr="00C103B7">
        <w:rPr>
          <w:rFonts w:ascii="Arial" w:hAnsi="Arial" w:cs="Arial"/>
          <w:sz w:val="24"/>
          <w:szCs w:val="24"/>
        </w:rPr>
        <w:tab/>
        <w:t>Keith Evans</w:t>
      </w:r>
      <w:r w:rsidRPr="00C103B7">
        <w:rPr>
          <w:rFonts w:ascii="Arial" w:hAnsi="Arial" w:cs="Arial"/>
          <w:sz w:val="24"/>
          <w:szCs w:val="24"/>
        </w:rPr>
        <w:tab/>
      </w:r>
      <w:r w:rsidRPr="00C103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03B7">
        <w:rPr>
          <w:rFonts w:ascii="Arial" w:hAnsi="Arial" w:cs="Arial"/>
          <w:sz w:val="24"/>
          <w:szCs w:val="24"/>
        </w:rPr>
        <w:t>CCMA</w:t>
      </w:r>
    </w:p>
    <w:p w:rsidR="00CF216F" w:rsidRDefault="00CF216F" w:rsidP="00CF216F">
      <w:pPr>
        <w:rPr>
          <w:rFonts w:ascii="Arial" w:hAnsi="Arial" w:cs="Arial"/>
          <w:sz w:val="24"/>
          <w:szCs w:val="24"/>
        </w:rPr>
      </w:pPr>
    </w:p>
    <w:p w:rsidR="00CF216F" w:rsidRPr="00C103B7" w:rsidRDefault="00CF216F" w:rsidP="00CF2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2018</w:t>
      </w:r>
    </w:p>
    <w:p w:rsidR="00CF216F" w:rsidRPr="00C73FBD" w:rsidRDefault="00CF216F" w:rsidP="004D4B2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CF216F" w:rsidRPr="00C73F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CB" w:rsidRDefault="00CA4DCB" w:rsidP="00464E62">
      <w:pPr>
        <w:spacing w:after="0" w:line="240" w:lineRule="auto"/>
      </w:pPr>
      <w:r>
        <w:separator/>
      </w:r>
    </w:p>
  </w:endnote>
  <w:endnote w:type="continuationSeparator" w:id="0">
    <w:p w:rsidR="00CA4DCB" w:rsidRDefault="00CA4DCB" w:rsidP="0046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CB" w:rsidRDefault="00CA4DCB" w:rsidP="00464E62">
      <w:pPr>
        <w:spacing w:after="0" w:line="240" w:lineRule="auto"/>
      </w:pPr>
      <w:r>
        <w:separator/>
      </w:r>
    </w:p>
  </w:footnote>
  <w:footnote w:type="continuationSeparator" w:id="0">
    <w:p w:rsidR="00CA4DCB" w:rsidRDefault="00CA4DCB" w:rsidP="0046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49" w:rsidRDefault="00464E62">
    <w:pPr>
      <w:pStyle w:val="Header"/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 wp14:anchorId="11CDF658" wp14:editId="2570408C">
          <wp:extent cx="3429000" cy="581025"/>
          <wp:effectExtent l="0" t="0" r="0" b="9525"/>
          <wp:docPr id="3" name="Picture 3" descr="cid:image002.jpg@01D0BE63.B3F56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0BE63.B3F56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D2C">
      <w:t xml:space="preserve">         </w:t>
    </w:r>
  </w:p>
  <w:p w:rsidR="00AE7E49" w:rsidRDefault="00AE7E49">
    <w:pPr>
      <w:pStyle w:val="Header"/>
    </w:pPr>
  </w:p>
  <w:p w:rsidR="00AE7E49" w:rsidRPr="00AE7E49" w:rsidRDefault="00BD7D2C">
    <w:pPr>
      <w:pStyle w:val="Header"/>
      <w:rPr>
        <w:rFonts w:ascii="Arial" w:hAnsi="Arial" w:cs="Arial"/>
        <w:b/>
        <w:color w:val="FF0000"/>
        <w:sz w:val="24"/>
        <w:szCs w:val="24"/>
      </w:rPr>
    </w:pPr>
    <w:r w:rsidRPr="00AE7E49">
      <w:rPr>
        <w:rFonts w:ascii="Arial" w:hAnsi="Arial" w:cs="Arial"/>
        <w:b/>
        <w:color w:val="FF0000"/>
        <w:sz w:val="24"/>
        <w:szCs w:val="24"/>
      </w:rPr>
      <w:t xml:space="preserve">Dial in details </w:t>
    </w:r>
  </w:p>
  <w:p w:rsidR="00AE7E49" w:rsidRPr="00AE7E49" w:rsidRDefault="00AE7E49">
    <w:pPr>
      <w:pStyle w:val="Header"/>
      <w:rPr>
        <w:rFonts w:ascii="Arial" w:hAnsi="Arial" w:cs="Arial"/>
        <w:b/>
        <w:color w:val="FF0000"/>
        <w:sz w:val="24"/>
        <w:szCs w:val="24"/>
      </w:rPr>
    </w:pPr>
    <w:r w:rsidRPr="00AE7E49">
      <w:rPr>
        <w:rFonts w:ascii="Arial" w:hAnsi="Arial" w:cs="Arial"/>
        <w:b/>
        <w:color w:val="FF0000"/>
        <w:sz w:val="24"/>
        <w:szCs w:val="24"/>
      </w:rPr>
      <w:t xml:space="preserve">416-933-8665 or 1-888-402-9166 </w:t>
    </w:r>
  </w:p>
  <w:p w:rsidR="00464E62" w:rsidRPr="00AE7E49" w:rsidRDefault="00AE7E49">
    <w:pPr>
      <w:pStyle w:val="Header"/>
      <w:rPr>
        <w:rFonts w:ascii="Arial" w:hAnsi="Arial" w:cs="Arial"/>
        <w:b/>
        <w:color w:val="FF0000"/>
        <w:sz w:val="24"/>
        <w:szCs w:val="24"/>
      </w:rPr>
    </w:pPr>
    <w:r w:rsidRPr="00AE7E49">
      <w:rPr>
        <w:rFonts w:ascii="Arial" w:hAnsi="Arial" w:cs="Arial"/>
        <w:b/>
        <w:color w:val="FF0000"/>
        <w:sz w:val="24"/>
        <w:szCs w:val="24"/>
      </w:rPr>
      <w:t>ID 7312646#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12D5"/>
    <w:multiLevelType w:val="multilevel"/>
    <w:tmpl w:val="574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27BBC"/>
    <w:multiLevelType w:val="hybridMultilevel"/>
    <w:tmpl w:val="AA506008"/>
    <w:lvl w:ilvl="0" w:tplc="705622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E683A"/>
    <w:multiLevelType w:val="hybridMultilevel"/>
    <w:tmpl w:val="F4AAD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A3"/>
    <w:rsid w:val="002A5CBC"/>
    <w:rsid w:val="00464E62"/>
    <w:rsid w:val="004D4B27"/>
    <w:rsid w:val="007F166D"/>
    <w:rsid w:val="008F3AF3"/>
    <w:rsid w:val="00905841"/>
    <w:rsid w:val="009E24F6"/>
    <w:rsid w:val="00AE7E49"/>
    <w:rsid w:val="00BD7D2C"/>
    <w:rsid w:val="00C05AA3"/>
    <w:rsid w:val="00C73FBD"/>
    <w:rsid w:val="00CA4DCB"/>
    <w:rsid w:val="00CF216F"/>
    <w:rsid w:val="00D11EAF"/>
    <w:rsid w:val="00D14682"/>
    <w:rsid w:val="00D35E10"/>
    <w:rsid w:val="00DE0245"/>
    <w:rsid w:val="00E12304"/>
    <w:rsid w:val="00EB1CC2"/>
    <w:rsid w:val="00EB4053"/>
    <w:rsid w:val="00F43362"/>
    <w:rsid w:val="00F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C3583-7CC3-448A-BA91-9728A74D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62"/>
  </w:style>
  <w:style w:type="paragraph" w:styleId="Footer">
    <w:name w:val="footer"/>
    <w:basedOn w:val="Normal"/>
    <w:link w:val="Foot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62"/>
  </w:style>
  <w:style w:type="paragraph" w:styleId="NoSpacing">
    <w:name w:val="No Spacing"/>
    <w:uiPriority w:val="1"/>
    <w:qFormat/>
    <w:rsid w:val="00D14682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BD7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3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8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02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6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1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72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8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79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351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54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04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908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6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56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90595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6013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3520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182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075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BE63.B3F56C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TMX Group Limited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Evans</dc:creator>
  <cp:keywords/>
  <dc:description/>
  <cp:lastModifiedBy>Keith Evans</cp:lastModifiedBy>
  <cp:revision>5</cp:revision>
  <dcterms:created xsi:type="dcterms:W3CDTF">2018-01-03T21:34:00Z</dcterms:created>
  <dcterms:modified xsi:type="dcterms:W3CDTF">2018-01-16T16:17:00Z</dcterms:modified>
</cp:coreProperties>
</file>