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 xml:space="preserve">CCMA </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TMX – PTMP- Advisory Council</w:t>
      </w:r>
    </w:p>
    <w:p w:rsidR="00F35DBC" w:rsidRPr="00F35DBC" w:rsidRDefault="00926928" w:rsidP="00F35DBC">
      <w:pPr>
        <w:jc w:val="center"/>
        <w:rPr>
          <w:rFonts w:ascii="Arial" w:eastAsia="Arial" w:hAnsi="Arial" w:cs="Arial"/>
          <w:b/>
          <w:sz w:val="28"/>
          <w:szCs w:val="28"/>
        </w:rPr>
      </w:pPr>
      <w:r>
        <w:rPr>
          <w:rFonts w:ascii="Arial" w:eastAsia="Arial" w:hAnsi="Arial" w:cs="Arial"/>
          <w:b/>
          <w:sz w:val="28"/>
          <w:szCs w:val="28"/>
        </w:rPr>
        <w:t>December 19</w:t>
      </w:r>
      <w:r w:rsidR="00F35DBC" w:rsidRPr="00F35DBC">
        <w:rPr>
          <w:rFonts w:ascii="Arial" w:eastAsia="Arial" w:hAnsi="Arial" w:cs="Arial"/>
          <w:b/>
          <w:sz w:val="28"/>
          <w:szCs w:val="28"/>
        </w:rPr>
        <w:t>, 2018 – 9:30 AM Eastern/6:30 AM Pacific</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32"/>
          <w:szCs w:val="32"/>
        </w:rPr>
      </w:pPr>
      <w:r w:rsidRPr="00F35DBC">
        <w:rPr>
          <w:rFonts w:ascii="Arial" w:eastAsia="Arial" w:hAnsi="Arial" w:cs="Arial"/>
          <w:b/>
          <w:sz w:val="32"/>
          <w:szCs w:val="32"/>
        </w:rPr>
        <w:t>Agenda</w:t>
      </w:r>
    </w:p>
    <w:p w:rsidR="00F35DBC" w:rsidRPr="00F35DBC" w:rsidRDefault="00F35DBC" w:rsidP="00F35DBC">
      <w:pPr>
        <w:jc w:val="center"/>
        <w:rPr>
          <w:rFonts w:ascii="Arial" w:eastAsia="Arial" w:hAnsi="Arial" w:cs="Arial"/>
          <w:b/>
          <w:sz w:val="28"/>
          <w:szCs w:val="28"/>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630"/>
        <w:contextualSpacing/>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Review and approve the Minutes of the meeting held on </w:t>
      </w:r>
      <w:r w:rsidR="00926928">
        <w:rPr>
          <w:rFonts w:ascii="Arial" w:eastAsia="Arial" w:hAnsi="Arial" w:cs="Arial"/>
          <w:b/>
          <w:i/>
          <w:sz w:val="24"/>
          <w:szCs w:val="24"/>
        </w:rPr>
        <w:t>November 21</w:t>
      </w:r>
      <w:r w:rsidRPr="00F35DBC">
        <w:rPr>
          <w:rFonts w:ascii="Arial" w:eastAsia="Arial" w:hAnsi="Arial" w:cs="Arial"/>
          <w:b/>
          <w:i/>
          <w:sz w:val="24"/>
          <w:szCs w:val="24"/>
        </w:rPr>
        <w:t>, 2018</w:t>
      </w:r>
    </w:p>
    <w:p w:rsidR="00F35DBC" w:rsidRPr="00F35DBC" w:rsidRDefault="00F35DBC" w:rsidP="00F35DBC">
      <w:pPr>
        <w:ind w:left="720"/>
        <w:contextualSpacing/>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Update/Discussion on</w:t>
      </w:r>
    </w:p>
    <w:p w:rsidR="004973F9" w:rsidRDefault="00A23069" w:rsidP="004973F9">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Testing Strategy Proposal</w:t>
      </w:r>
    </w:p>
    <w:p w:rsidR="004973F9" w:rsidRPr="004973F9" w:rsidRDefault="004973F9" w:rsidP="004973F9">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CNS Hold and Buy in Extension</w:t>
      </w:r>
    </w:p>
    <w:p w:rsidR="00FD1867" w:rsidRPr="00FD1867" w:rsidRDefault="00FD1867" w:rsidP="006C7D54">
      <w:pPr>
        <w:spacing w:after="0"/>
        <w:ind w:left="1440"/>
        <w:contextualSpacing/>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Oversight Committee Update</w:t>
      </w:r>
    </w:p>
    <w:p w:rsidR="00F35DBC" w:rsidRPr="00F35DBC" w:rsidRDefault="00F35DBC" w:rsidP="00F35DBC">
      <w:pPr>
        <w:numPr>
          <w:ilvl w:val="1"/>
          <w:numId w:val="1"/>
        </w:numPr>
        <w:spacing w:after="0"/>
        <w:contextualSpacing/>
        <w:rPr>
          <w:rFonts w:ascii="Arial" w:eastAsia="Arial" w:hAnsi="Arial" w:cs="Arial"/>
          <w:b/>
          <w:i/>
          <w:sz w:val="24"/>
          <w:szCs w:val="24"/>
        </w:rPr>
      </w:pPr>
      <w:r w:rsidRPr="00F35DBC">
        <w:rPr>
          <w:rFonts w:ascii="Arial" w:eastAsia="Arial" w:hAnsi="Arial" w:cs="Arial"/>
          <w:b/>
          <w:i/>
          <w:sz w:val="24"/>
          <w:szCs w:val="24"/>
        </w:rPr>
        <w:t>Project Update</w:t>
      </w:r>
    </w:p>
    <w:p w:rsidR="00F35DBC" w:rsidRPr="00F35DBC" w:rsidRDefault="00F35DBC" w:rsidP="00F35DBC">
      <w:pPr>
        <w:numPr>
          <w:ilvl w:val="2"/>
          <w:numId w:val="1"/>
        </w:numPr>
        <w:spacing w:after="0"/>
        <w:contextualSpacing/>
        <w:rPr>
          <w:rFonts w:ascii="Arial" w:eastAsia="Arial" w:hAnsi="Arial" w:cs="Arial"/>
          <w:b/>
          <w:i/>
          <w:sz w:val="24"/>
          <w:szCs w:val="24"/>
        </w:rPr>
      </w:pPr>
      <w:r w:rsidRPr="00F35DBC">
        <w:rPr>
          <w:rFonts w:ascii="Arial" w:eastAsia="Arial" w:hAnsi="Arial" w:cs="Arial"/>
          <w:b/>
          <w:i/>
          <w:sz w:val="24"/>
          <w:szCs w:val="24"/>
        </w:rPr>
        <w:t>Consultative Committee Status</w:t>
      </w:r>
    </w:p>
    <w:p w:rsidR="00F35DBC" w:rsidRPr="00F35DBC" w:rsidRDefault="00F35DBC" w:rsidP="00F35DBC">
      <w:pPr>
        <w:numPr>
          <w:ilvl w:val="2"/>
          <w:numId w:val="1"/>
        </w:numPr>
        <w:spacing w:after="0"/>
        <w:contextualSpacing/>
        <w:rPr>
          <w:rFonts w:ascii="Arial" w:eastAsia="Arial" w:hAnsi="Arial" w:cs="Arial"/>
          <w:b/>
          <w:i/>
          <w:sz w:val="24"/>
          <w:szCs w:val="24"/>
        </w:rPr>
      </w:pPr>
      <w:r w:rsidRPr="00F35DBC">
        <w:rPr>
          <w:rFonts w:ascii="Arial" w:eastAsia="Arial" w:hAnsi="Arial" w:cs="Arial"/>
          <w:b/>
          <w:i/>
          <w:sz w:val="24"/>
          <w:szCs w:val="24"/>
        </w:rPr>
        <w:t>Upcoming meetings</w:t>
      </w:r>
    </w:p>
    <w:p w:rsidR="00F35DBC" w:rsidRPr="00F35DBC" w:rsidRDefault="00F35DBC" w:rsidP="00F35DBC">
      <w:pPr>
        <w:numPr>
          <w:ilvl w:val="2"/>
          <w:numId w:val="1"/>
        </w:numPr>
        <w:spacing w:after="0"/>
        <w:contextualSpacing/>
        <w:rPr>
          <w:rFonts w:ascii="Arial" w:eastAsia="Arial" w:hAnsi="Arial" w:cs="Arial"/>
          <w:b/>
          <w:i/>
          <w:sz w:val="24"/>
          <w:szCs w:val="24"/>
        </w:rPr>
      </w:pPr>
      <w:r w:rsidRPr="00F35DBC">
        <w:rPr>
          <w:rFonts w:ascii="Arial" w:eastAsia="Arial" w:hAnsi="Arial" w:cs="Arial"/>
          <w:b/>
          <w:i/>
          <w:sz w:val="24"/>
          <w:szCs w:val="24"/>
        </w:rPr>
        <w:t>Identified Issues</w:t>
      </w:r>
    </w:p>
    <w:p w:rsidR="00F35DBC" w:rsidRPr="00F35DBC" w:rsidRDefault="00F35DBC" w:rsidP="00F35DBC">
      <w:pPr>
        <w:ind w:left="630"/>
        <w:contextualSpacing/>
        <w:rPr>
          <w:rFonts w:ascii="Arial" w:eastAsia="Arial" w:hAnsi="Arial" w:cs="Arial"/>
          <w:b/>
          <w:i/>
          <w:sz w:val="24"/>
          <w:szCs w:val="24"/>
        </w:rPr>
      </w:pPr>
    </w:p>
    <w:p w:rsidR="00F35DBC" w:rsidRPr="00F35DBC" w:rsidRDefault="00F35DBC" w:rsidP="00F35DBC">
      <w:pPr>
        <w:numPr>
          <w:ilvl w:val="0"/>
          <w:numId w:val="1"/>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spacing w:after="0"/>
        <w:ind w:left="360"/>
        <w:rPr>
          <w:rFonts w:ascii="Arial" w:eastAsia="Arial" w:hAnsi="Arial" w:cs="Arial"/>
          <w:b/>
          <w:i/>
          <w:sz w:val="24"/>
          <w:szCs w:val="24"/>
        </w:rPr>
      </w:pPr>
    </w:p>
    <w:p w:rsidR="00F35DBC" w:rsidRPr="00F35DBC" w:rsidRDefault="00F35DBC" w:rsidP="00F35DBC">
      <w:pPr>
        <w:numPr>
          <w:ilvl w:val="0"/>
          <w:numId w:val="1"/>
        </w:numPr>
        <w:spacing w:after="0"/>
        <w:contextualSpacing/>
        <w:rPr>
          <w:rFonts w:ascii="Arial" w:eastAsia="Arial" w:hAnsi="Arial" w:cs="Arial"/>
          <w:b/>
          <w:i/>
          <w:sz w:val="24"/>
          <w:szCs w:val="24"/>
        </w:rPr>
      </w:pPr>
      <w:r w:rsidRPr="00F35DBC">
        <w:rPr>
          <w:rFonts w:ascii="Arial" w:eastAsia="Arial" w:hAnsi="Arial" w:cs="Arial"/>
          <w:b/>
          <w:i/>
          <w:sz w:val="24"/>
          <w:szCs w:val="24"/>
        </w:rPr>
        <w:t xml:space="preserve">Next Meeting </w:t>
      </w:r>
      <w:r w:rsidRPr="00F35DBC">
        <w:rPr>
          <w:rFonts w:ascii="Arial" w:eastAsia="Arial" w:hAnsi="Arial" w:cs="Arial"/>
          <w:b/>
          <w:i/>
          <w:sz w:val="24"/>
          <w:szCs w:val="24"/>
        </w:rPr>
        <w:tab/>
      </w:r>
      <w:r w:rsidR="007B4878">
        <w:rPr>
          <w:rFonts w:ascii="Arial" w:eastAsia="Arial" w:hAnsi="Arial" w:cs="Arial"/>
          <w:b/>
          <w:i/>
          <w:sz w:val="24"/>
          <w:szCs w:val="24"/>
        </w:rPr>
        <w:t xml:space="preserve">Wednesday </w:t>
      </w:r>
      <w:r w:rsidR="00926928">
        <w:rPr>
          <w:rFonts w:ascii="Arial" w:eastAsia="Arial" w:hAnsi="Arial" w:cs="Arial"/>
          <w:b/>
          <w:i/>
          <w:sz w:val="24"/>
          <w:szCs w:val="24"/>
        </w:rPr>
        <w:t xml:space="preserve">January </w:t>
      </w:r>
      <w:r w:rsidR="00A23069">
        <w:rPr>
          <w:rFonts w:ascii="Arial" w:eastAsia="Arial" w:hAnsi="Arial" w:cs="Arial"/>
          <w:b/>
          <w:i/>
          <w:sz w:val="24"/>
          <w:szCs w:val="24"/>
        </w:rPr>
        <w:t>16</w:t>
      </w:r>
      <w:r w:rsidR="00926928">
        <w:rPr>
          <w:rFonts w:ascii="Arial" w:eastAsia="Arial" w:hAnsi="Arial" w:cs="Arial"/>
          <w:b/>
          <w:i/>
          <w:sz w:val="24"/>
          <w:szCs w:val="24"/>
        </w:rPr>
        <w:t>, 2019</w:t>
      </w:r>
      <w:r w:rsidRPr="00F35DBC">
        <w:rPr>
          <w:rFonts w:ascii="Arial" w:eastAsia="Arial" w:hAnsi="Arial" w:cs="Arial"/>
          <w:b/>
          <w:i/>
          <w:sz w:val="24"/>
          <w:szCs w:val="24"/>
        </w:rPr>
        <w:t xml:space="preserve"> at 9:30 AM ET</w:t>
      </w: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F35DBC" w:rsidRPr="00F35DBC" w:rsidRDefault="00F35DBC" w:rsidP="00F35DBC">
      <w:pPr>
        <w:spacing w:after="0"/>
        <w:ind w:left="1440"/>
        <w:rPr>
          <w:rFonts w:ascii="Arial" w:eastAsia="Arial" w:hAnsi="Arial" w:cs="Arial"/>
          <w:sz w:val="24"/>
          <w:szCs w:val="24"/>
        </w:rPr>
      </w:pPr>
    </w:p>
    <w:p w:rsidR="00A76B43" w:rsidRDefault="00A76B43" w:rsidP="00F35DBC">
      <w:pPr>
        <w:jc w:val="center"/>
        <w:rPr>
          <w:rFonts w:ascii="Arial" w:eastAsia="Arial" w:hAnsi="Arial" w:cs="Arial"/>
          <w:b/>
          <w:sz w:val="28"/>
          <w:szCs w:val="28"/>
        </w:rPr>
      </w:pP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lastRenderedPageBreak/>
        <w:t>TMX – Post Trade Modernization Project - Advisory Council</w:t>
      </w:r>
    </w:p>
    <w:p w:rsidR="00F35DBC" w:rsidRPr="00F35DBC" w:rsidRDefault="00F35DBC" w:rsidP="00F35DBC">
      <w:pPr>
        <w:jc w:val="center"/>
        <w:rPr>
          <w:rFonts w:ascii="Arial" w:eastAsia="Arial" w:hAnsi="Arial" w:cs="Arial"/>
          <w:b/>
          <w:sz w:val="28"/>
          <w:szCs w:val="28"/>
        </w:rPr>
      </w:pPr>
      <w:r w:rsidRPr="00F35DBC">
        <w:rPr>
          <w:rFonts w:ascii="Arial" w:eastAsia="Arial" w:hAnsi="Arial" w:cs="Arial"/>
          <w:b/>
          <w:sz w:val="28"/>
          <w:szCs w:val="28"/>
        </w:rPr>
        <w:t>(PTMP- AC)</w:t>
      </w:r>
    </w:p>
    <w:p w:rsidR="00F35DBC" w:rsidRPr="00F35DBC" w:rsidRDefault="00926928" w:rsidP="00F35DBC">
      <w:pPr>
        <w:jc w:val="center"/>
        <w:rPr>
          <w:rFonts w:ascii="Arial" w:eastAsia="Arial" w:hAnsi="Arial" w:cs="Arial"/>
          <w:b/>
          <w:sz w:val="28"/>
          <w:szCs w:val="28"/>
        </w:rPr>
      </w:pPr>
      <w:r>
        <w:rPr>
          <w:rFonts w:ascii="Arial" w:eastAsia="Arial" w:hAnsi="Arial" w:cs="Arial"/>
          <w:b/>
          <w:sz w:val="28"/>
          <w:szCs w:val="28"/>
        </w:rPr>
        <w:t>November 21</w:t>
      </w:r>
      <w:r w:rsidR="00F35DBC" w:rsidRPr="00F35DBC">
        <w:rPr>
          <w:rFonts w:ascii="Arial" w:eastAsia="Arial" w:hAnsi="Arial" w:cs="Arial"/>
          <w:b/>
          <w:sz w:val="28"/>
          <w:szCs w:val="28"/>
        </w:rPr>
        <w:t xml:space="preserve">, 2018 – </w:t>
      </w:r>
      <w:bookmarkStart w:id="0" w:name="Minutes"/>
      <w:r w:rsidR="00F35DBC" w:rsidRPr="00F35DBC">
        <w:rPr>
          <w:rFonts w:ascii="Arial" w:eastAsia="Arial" w:hAnsi="Arial" w:cs="Arial"/>
          <w:b/>
          <w:sz w:val="28"/>
          <w:szCs w:val="28"/>
        </w:rPr>
        <w:t>Minutes</w:t>
      </w:r>
      <w:bookmarkEnd w:id="0"/>
    </w:p>
    <w:p w:rsidR="00F35DBC" w:rsidRPr="00F35DBC" w:rsidRDefault="00F35DBC" w:rsidP="00F35DBC">
      <w:pPr>
        <w:ind w:left="270"/>
        <w:rPr>
          <w:rFonts w:ascii="Arial" w:eastAsia="Arial" w:hAnsi="Arial" w:cs="Arial"/>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Introductions</w:t>
      </w:r>
    </w:p>
    <w:p w:rsidR="00F35DBC" w:rsidRPr="00F35DBC" w:rsidRDefault="00F35DBC" w:rsidP="00F35DBC">
      <w:pPr>
        <w:ind w:left="1080"/>
        <w:rPr>
          <w:rFonts w:ascii="Arial" w:eastAsia="Arial" w:hAnsi="Arial" w:cs="Arial"/>
          <w:sz w:val="24"/>
          <w:szCs w:val="24"/>
        </w:rPr>
      </w:pPr>
      <w:r w:rsidRPr="00F35DBC">
        <w:rPr>
          <w:rFonts w:ascii="Arial" w:eastAsia="Arial" w:hAnsi="Arial" w:cs="Arial"/>
          <w:sz w:val="24"/>
          <w:szCs w:val="24"/>
        </w:rPr>
        <w:t>Keith Evans of CCMA welcomed all to the meeting of the CCMA Post Trade Modernization Project Advisory Council (PTMP-AC). He asked that all members email their attendance at this meeting.</w:t>
      </w:r>
    </w:p>
    <w:p w:rsidR="00F35DBC" w:rsidRPr="00F35DBC" w:rsidRDefault="00F35DBC" w:rsidP="00F35DBC">
      <w:pPr>
        <w:ind w:left="990"/>
        <w:rPr>
          <w:rFonts w:ascii="Arial" w:eastAsia="Arial" w:hAnsi="Arial" w:cs="Arial"/>
          <w:b/>
          <w:i/>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 xml:space="preserve">Review/Approve the Minutes from the </w:t>
      </w:r>
      <w:r w:rsidR="00926928">
        <w:rPr>
          <w:rFonts w:ascii="Arial" w:eastAsia="Arial" w:hAnsi="Arial" w:cs="Arial"/>
          <w:b/>
          <w:i/>
          <w:sz w:val="24"/>
          <w:szCs w:val="24"/>
        </w:rPr>
        <w:t>October 24</w:t>
      </w:r>
      <w:r w:rsidRPr="00F35DBC">
        <w:rPr>
          <w:rFonts w:ascii="Arial" w:eastAsia="Arial" w:hAnsi="Arial" w:cs="Arial"/>
          <w:b/>
          <w:i/>
          <w:sz w:val="24"/>
          <w:szCs w:val="24"/>
        </w:rPr>
        <w:t>, 2018 meeting.</w:t>
      </w:r>
    </w:p>
    <w:p w:rsidR="00F35DBC" w:rsidRPr="00F35DBC" w:rsidRDefault="00F35DBC" w:rsidP="00F35DBC">
      <w:pPr>
        <w:ind w:left="1080"/>
        <w:rPr>
          <w:rFonts w:ascii="Arial" w:eastAsia="Arial" w:hAnsi="Arial" w:cs="Arial"/>
          <w:sz w:val="24"/>
          <w:szCs w:val="24"/>
        </w:rPr>
      </w:pPr>
      <w:r w:rsidRPr="00F35DBC">
        <w:rPr>
          <w:rFonts w:ascii="Arial" w:eastAsia="Arial" w:hAnsi="Arial" w:cs="Arial"/>
          <w:sz w:val="24"/>
          <w:szCs w:val="24"/>
        </w:rPr>
        <w:t xml:space="preserve">Keith reported that the minutes from the last meeting, held on </w:t>
      </w:r>
      <w:r w:rsidR="003C0B5A">
        <w:rPr>
          <w:rFonts w:ascii="Arial" w:eastAsia="Arial" w:hAnsi="Arial" w:cs="Arial"/>
          <w:sz w:val="24"/>
          <w:szCs w:val="24"/>
        </w:rPr>
        <w:t>October 24</w:t>
      </w:r>
      <w:r w:rsidRPr="00F35DBC">
        <w:rPr>
          <w:rFonts w:ascii="Arial" w:eastAsia="Arial" w:hAnsi="Arial" w:cs="Arial"/>
          <w:sz w:val="24"/>
          <w:szCs w:val="24"/>
        </w:rPr>
        <w:t xml:space="preserve">, 2018 had been distributed with the meeting package. </w:t>
      </w:r>
      <w:r w:rsidR="003C0B5A">
        <w:rPr>
          <w:rFonts w:ascii="Arial" w:eastAsia="Arial" w:hAnsi="Arial" w:cs="Arial"/>
          <w:sz w:val="24"/>
          <w:szCs w:val="24"/>
        </w:rPr>
        <w:t xml:space="preserve">The date of the next meeting needed to be corrected to show that the next meeting would be held on November 21, 2018. </w:t>
      </w:r>
      <w:r w:rsidRPr="00F35DBC">
        <w:rPr>
          <w:rFonts w:ascii="Arial" w:eastAsia="Arial" w:hAnsi="Arial" w:cs="Arial"/>
          <w:sz w:val="24"/>
          <w:szCs w:val="24"/>
        </w:rPr>
        <w:t>There were no additions, subtractions or corrections requested by members, therefore, the minutes were approved as presented.</w:t>
      </w:r>
    </w:p>
    <w:p w:rsidR="00F35DBC" w:rsidRPr="00F35DBC" w:rsidRDefault="00F35DBC" w:rsidP="00F35DBC">
      <w:pPr>
        <w:spacing w:after="0"/>
        <w:ind w:left="1080"/>
        <w:rPr>
          <w:rFonts w:ascii="Arial" w:eastAsia="Arial" w:hAnsi="Arial" w:cs="Arial"/>
          <w:sz w:val="24"/>
          <w:szCs w:val="24"/>
        </w:rPr>
      </w:pPr>
    </w:p>
    <w:p w:rsid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Update</w:t>
      </w:r>
      <w:r w:rsidR="00FD1867">
        <w:rPr>
          <w:rFonts w:ascii="Arial" w:eastAsia="Arial" w:hAnsi="Arial" w:cs="Arial"/>
          <w:b/>
          <w:i/>
          <w:sz w:val="24"/>
          <w:szCs w:val="24"/>
        </w:rPr>
        <w:t>/Discussion</w:t>
      </w:r>
      <w:r w:rsidRPr="00F35DBC">
        <w:rPr>
          <w:rFonts w:ascii="Arial" w:eastAsia="Arial" w:hAnsi="Arial" w:cs="Arial"/>
          <w:b/>
          <w:i/>
          <w:sz w:val="24"/>
          <w:szCs w:val="24"/>
        </w:rPr>
        <w:t xml:space="preserve"> on </w:t>
      </w:r>
    </w:p>
    <w:p w:rsidR="003C0B5A" w:rsidRPr="003C0B5A" w:rsidRDefault="003C0B5A" w:rsidP="00FD1867">
      <w:pPr>
        <w:numPr>
          <w:ilvl w:val="1"/>
          <w:numId w:val="2"/>
        </w:numPr>
        <w:contextualSpacing/>
        <w:rPr>
          <w:rFonts w:ascii="Arial" w:eastAsia="Arial" w:hAnsi="Arial" w:cs="Arial"/>
          <w:sz w:val="24"/>
          <w:szCs w:val="24"/>
        </w:rPr>
      </w:pPr>
      <w:r w:rsidRPr="003C0B5A">
        <w:rPr>
          <w:rFonts w:ascii="Arial" w:eastAsia="Arial" w:hAnsi="Arial" w:cs="Arial"/>
          <w:b/>
          <w:sz w:val="24"/>
          <w:szCs w:val="24"/>
        </w:rPr>
        <w:t>Risk Re-platforming</w:t>
      </w:r>
      <w:r>
        <w:rPr>
          <w:rFonts w:ascii="Arial" w:eastAsia="Arial" w:hAnsi="Arial" w:cs="Arial"/>
          <w:sz w:val="24"/>
          <w:szCs w:val="24"/>
        </w:rPr>
        <w:t xml:space="preserve">: Keith reported that this first phase of the Post Trade Modernization Project is still scheduled for January 2019. However, no exact date has been provided as yet by TMX. </w:t>
      </w:r>
      <w:r w:rsidR="00ED0683">
        <w:rPr>
          <w:rFonts w:ascii="Arial" w:eastAsia="Arial" w:hAnsi="Arial" w:cs="Arial"/>
          <w:sz w:val="24"/>
          <w:szCs w:val="24"/>
        </w:rPr>
        <w:t>This would appear to be a problem given that members need to prepare for all implementations. Keith said that he believed that this implementation would be in the latter half of the month. Keith also reported that TMX has generated stats that indicate the impact that this change will have on collateral to be posted for members. However, in order to get this data, a request must be made to TMX first. Keith was concerned that, to date, only 25% of the CDCC members had actually requested this data. He strongly urged all members to contact their relationship manager, or Daniel Farley to receive the data available.</w:t>
      </w:r>
    </w:p>
    <w:p w:rsidR="00A874D8" w:rsidRDefault="00FD1867" w:rsidP="00FD1867">
      <w:pPr>
        <w:numPr>
          <w:ilvl w:val="1"/>
          <w:numId w:val="2"/>
        </w:numPr>
        <w:contextualSpacing/>
        <w:rPr>
          <w:rFonts w:ascii="Arial" w:eastAsia="Arial" w:hAnsi="Arial" w:cs="Arial"/>
          <w:sz w:val="24"/>
          <w:szCs w:val="24"/>
        </w:rPr>
      </w:pPr>
      <w:r w:rsidRPr="00FD1867">
        <w:rPr>
          <w:rFonts w:ascii="Arial" w:eastAsia="Arial" w:hAnsi="Arial" w:cs="Arial"/>
          <w:b/>
          <w:i/>
          <w:sz w:val="24"/>
          <w:szCs w:val="24"/>
        </w:rPr>
        <w:t xml:space="preserve">CNS: </w:t>
      </w:r>
      <w:r w:rsidRPr="00FD1867">
        <w:rPr>
          <w:rFonts w:ascii="Arial" w:eastAsia="Arial" w:hAnsi="Arial" w:cs="Arial"/>
          <w:sz w:val="24"/>
          <w:szCs w:val="24"/>
        </w:rPr>
        <w:t xml:space="preserve">Keith </w:t>
      </w:r>
      <w:r w:rsidR="00A874D8">
        <w:rPr>
          <w:rFonts w:ascii="Arial" w:eastAsia="Arial" w:hAnsi="Arial" w:cs="Arial"/>
          <w:sz w:val="24"/>
          <w:szCs w:val="24"/>
        </w:rPr>
        <w:t>reported that the proposed removal of the ‘Hold’ feature within CNS has garnered a lot of discussion recently. As a result of industry feedback, the TMX has indicated that they are looking into alternatives internally, and hope to be in a position to bring some options to the community early in the new year. Keith felt that this was a good sign.</w:t>
      </w:r>
    </w:p>
    <w:p w:rsidR="0069472A" w:rsidRPr="00BC5B74" w:rsidRDefault="00FD1867" w:rsidP="00BC5B74">
      <w:pPr>
        <w:numPr>
          <w:ilvl w:val="1"/>
          <w:numId w:val="2"/>
        </w:numPr>
        <w:contextualSpacing/>
        <w:rPr>
          <w:rFonts w:ascii="Arial" w:eastAsia="Arial" w:hAnsi="Arial" w:cs="Arial"/>
          <w:sz w:val="24"/>
          <w:szCs w:val="24"/>
        </w:rPr>
      </w:pPr>
      <w:r w:rsidRPr="0019284B">
        <w:rPr>
          <w:rFonts w:ascii="Arial" w:eastAsia="Arial" w:hAnsi="Arial" w:cs="Arial"/>
          <w:b/>
          <w:i/>
          <w:sz w:val="24"/>
          <w:szCs w:val="24"/>
        </w:rPr>
        <w:lastRenderedPageBreak/>
        <w:t>Buy Ins</w:t>
      </w:r>
      <w:r w:rsidR="003C7ADE" w:rsidRPr="0019284B">
        <w:rPr>
          <w:rFonts w:ascii="Arial" w:eastAsia="Arial" w:hAnsi="Arial" w:cs="Arial"/>
          <w:b/>
          <w:i/>
          <w:sz w:val="24"/>
          <w:szCs w:val="24"/>
        </w:rPr>
        <w:t>:</w:t>
      </w:r>
      <w:r w:rsidRPr="0019284B">
        <w:rPr>
          <w:rFonts w:ascii="Arial" w:eastAsia="Arial" w:hAnsi="Arial" w:cs="Arial"/>
          <w:sz w:val="24"/>
          <w:szCs w:val="24"/>
        </w:rPr>
        <w:t xml:space="preserve"> </w:t>
      </w:r>
      <w:r w:rsidR="00A874D8">
        <w:rPr>
          <w:rFonts w:ascii="Arial" w:eastAsia="Arial" w:hAnsi="Arial" w:cs="Arial"/>
          <w:sz w:val="24"/>
          <w:szCs w:val="24"/>
        </w:rPr>
        <w:t xml:space="preserve">Keith reported that </w:t>
      </w:r>
      <w:r w:rsidR="0019284B" w:rsidRPr="0019284B">
        <w:rPr>
          <w:rFonts w:ascii="Arial" w:eastAsia="Arial" w:hAnsi="Arial" w:cs="Arial"/>
          <w:sz w:val="24"/>
          <w:szCs w:val="24"/>
        </w:rPr>
        <w:t>Buys Ins have also been a t</w:t>
      </w:r>
      <w:r w:rsidR="0019284B">
        <w:rPr>
          <w:rFonts w:ascii="Arial" w:eastAsia="Arial" w:hAnsi="Arial" w:cs="Arial"/>
          <w:sz w:val="24"/>
          <w:szCs w:val="24"/>
        </w:rPr>
        <w:t>o</w:t>
      </w:r>
      <w:r w:rsidR="0019284B" w:rsidRPr="0019284B">
        <w:rPr>
          <w:rFonts w:ascii="Arial" w:eastAsia="Arial" w:hAnsi="Arial" w:cs="Arial"/>
          <w:sz w:val="24"/>
          <w:szCs w:val="24"/>
        </w:rPr>
        <w:t xml:space="preserve">pic of discussion at recent Consultative Committee meetings. </w:t>
      </w:r>
      <w:r w:rsidR="00A874D8">
        <w:rPr>
          <w:rFonts w:ascii="Arial" w:eastAsia="Arial" w:hAnsi="Arial" w:cs="Arial"/>
          <w:sz w:val="24"/>
          <w:szCs w:val="24"/>
        </w:rPr>
        <w:t>T</w:t>
      </w:r>
      <w:r w:rsidR="0019284B" w:rsidRPr="0019284B">
        <w:rPr>
          <w:rFonts w:ascii="Arial" w:eastAsia="Arial" w:hAnsi="Arial" w:cs="Arial"/>
          <w:sz w:val="24"/>
          <w:szCs w:val="24"/>
        </w:rPr>
        <w:t>he removal of the Buy In extension capability</w:t>
      </w:r>
      <w:r w:rsidR="00A874D8">
        <w:rPr>
          <w:rFonts w:ascii="Arial" w:eastAsia="Arial" w:hAnsi="Arial" w:cs="Arial"/>
          <w:sz w:val="24"/>
          <w:szCs w:val="24"/>
        </w:rPr>
        <w:t xml:space="preserve"> will also be under review within the TMX project team, and a proposal should be communicated early in the new year for industry consideration.</w:t>
      </w:r>
    </w:p>
    <w:p w:rsidR="00F35DBC" w:rsidRPr="0069472A" w:rsidRDefault="00F35DBC" w:rsidP="00F35DBC">
      <w:pPr>
        <w:ind w:left="990"/>
        <w:contextualSpacing/>
        <w:rPr>
          <w:rFonts w:ascii="Arial" w:eastAsia="Arial" w:hAnsi="Arial" w:cs="Arial"/>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Oversight Committee Update</w:t>
      </w:r>
    </w:p>
    <w:p w:rsidR="00937575" w:rsidRDefault="00F35DBC" w:rsidP="00937575">
      <w:pPr>
        <w:ind w:left="990"/>
        <w:contextualSpacing/>
        <w:rPr>
          <w:rFonts w:ascii="Arial" w:eastAsia="Arial" w:hAnsi="Arial" w:cs="Arial"/>
          <w:sz w:val="24"/>
          <w:szCs w:val="24"/>
        </w:rPr>
      </w:pPr>
      <w:r w:rsidRPr="00F35DBC">
        <w:rPr>
          <w:rFonts w:ascii="Arial" w:eastAsia="Arial" w:hAnsi="Arial" w:cs="Arial"/>
          <w:sz w:val="24"/>
          <w:szCs w:val="24"/>
        </w:rPr>
        <w:t xml:space="preserve">Keith spoke to the project material included in the meeting package. He reviewed at a high level the progress as reported by TMX. In particular, he pointed out that the Consultative Committee schedule </w:t>
      </w:r>
      <w:r w:rsidR="00BC5B74">
        <w:rPr>
          <w:rFonts w:ascii="Arial" w:eastAsia="Arial" w:hAnsi="Arial" w:cs="Arial"/>
          <w:sz w:val="24"/>
          <w:szCs w:val="24"/>
        </w:rPr>
        <w:t>had been very light during the past month</w:t>
      </w:r>
      <w:r w:rsidR="00526730">
        <w:rPr>
          <w:rFonts w:ascii="Arial" w:eastAsia="Arial" w:hAnsi="Arial" w:cs="Arial"/>
          <w:sz w:val="24"/>
          <w:szCs w:val="24"/>
        </w:rPr>
        <w:t>,</w:t>
      </w:r>
      <w:r w:rsidR="00BC5B74">
        <w:rPr>
          <w:rFonts w:ascii="Arial" w:eastAsia="Arial" w:hAnsi="Arial" w:cs="Arial"/>
          <w:sz w:val="24"/>
          <w:szCs w:val="24"/>
        </w:rPr>
        <w:t xml:space="preserve"> with only a couple of meetings being held. He reported that according to the material, Atlas </w:t>
      </w:r>
      <w:r w:rsidR="00526730">
        <w:rPr>
          <w:rFonts w:ascii="Arial" w:eastAsia="Arial" w:hAnsi="Arial" w:cs="Arial"/>
          <w:sz w:val="24"/>
          <w:szCs w:val="24"/>
        </w:rPr>
        <w:t xml:space="preserve">changes </w:t>
      </w:r>
      <w:r w:rsidR="00BC5B74">
        <w:rPr>
          <w:rFonts w:ascii="Arial" w:eastAsia="Arial" w:hAnsi="Arial" w:cs="Arial"/>
          <w:sz w:val="24"/>
          <w:szCs w:val="24"/>
        </w:rPr>
        <w:t>ha</w:t>
      </w:r>
      <w:r w:rsidR="00526730">
        <w:rPr>
          <w:rFonts w:ascii="Arial" w:eastAsia="Arial" w:hAnsi="Arial" w:cs="Arial"/>
          <w:sz w:val="24"/>
          <w:szCs w:val="24"/>
        </w:rPr>
        <w:t>ve</w:t>
      </w:r>
      <w:r w:rsidR="00BC5B74">
        <w:rPr>
          <w:rFonts w:ascii="Arial" w:eastAsia="Arial" w:hAnsi="Arial" w:cs="Arial"/>
          <w:sz w:val="24"/>
          <w:szCs w:val="24"/>
        </w:rPr>
        <w:t xml:space="preserve"> been 63% communicated to the industry</w:t>
      </w:r>
      <w:r w:rsidR="00526730">
        <w:rPr>
          <w:rFonts w:ascii="Arial" w:eastAsia="Arial" w:hAnsi="Arial" w:cs="Arial"/>
          <w:sz w:val="24"/>
          <w:szCs w:val="24"/>
        </w:rPr>
        <w:t>,</w:t>
      </w:r>
      <w:r w:rsidR="00BC5B74">
        <w:rPr>
          <w:rFonts w:ascii="Arial" w:eastAsia="Arial" w:hAnsi="Arial" w:cs="Arial"/>
          <w:sz w:val="24"/>
          <w:szCs w:val="24"/>
        </w:rPr>
        <w:t xml:space="preserve"> while Mercury </w:t>
      </w:r>
      <w:r w:rsidR="00526730">
        <w:rPr>
          <w:rFonts w:ascii="Arial" w:eastAsia="Arial" w:hAnsi="Arial" w:cs="Arial"/>
          <w:sz w:val="24"/>
          <w:szCs w:val="24"/>
        </w:rPr>
        <w:t>changes were</w:t>
      </w:r>
      <w:r w:rsidR="00BC5B74">
        <w:rPr>
          <w:rFonts w:ascii="Arial" w:eastAsia="Arial" w:hAnsi="Arial" w:cs="Arial"/>
          <w:sz w:val="24"/>
          <w:szCs w:val="24"/>
        </w:rPr>
        <w:t xml:space="preserve"> only at 7%. He also reported that there were a few more meeting</w:t>
      </w:r>
      <w:r w:rsidR="00526730">
        <w:rPr>
          <w:rFonts w:ascii="Arial" w:eastAsia="Arial" w:hAnsi="Arial" w:cs="Arial"/>
          <w:sz w:val="24"/>
          <w:szCs w:val="24"/>
        </w:rPr>
        <w:t>s</w:t>
      </w:r>
      <w:r w:rsidR="00BC5B74">
        <w:rPr>
          <w:rFonts w:ascii="Arial" w:eastAsia="Arial" w:hAnsi="Arial" w:cs="Arial"/>
          <w:sz w:val="24"/>
          <w:szCs w:val="24"/>
        </w:rPr>
        <w:t xml:space="preserve"> scheduled between late November and </w:t>
      </w:r>
      <w:r w:rsidR="00526730">
        <w:rPr>
          <w:rFonts w:ascii="Arial" w:eastAsia="Arial" w:hAnsi="Arial" w:cs="Arial"/>
          <w:sz w:val="24"/>
          <w:szCs w:val="24"/>
        </w:rPr>
        <w:t>mid-December</w:t>
      </w:r>
      <w:r w:rsidR="00BC5B74">
        <w:rPr>
          <w:rFonts w:ascii="Arial" w:eastAsia="Arial" w:hAnsi="Arial" w:cs="Arial"/>
          <w:sz w:val="24"/>
          <w:szCs w:val="24"/>
        </w:rPr>
        <w:t xml:space="preserve">. </w:t>
      </w:r>
      <w:r w:rsidR="00526730">
        <w:rPr>
          <w:rFonts w:ascii="Arial" w:eastAsia="Arial" w:hAnsi="Arial" w:cs="Arial"/>
          <w:sz w:val="24"/>
          <w:szCs w:val="24"/>
        </w:rPr>
        <w:t xml:space="preserve">The Consultative Committees will take a break between December 15 and late January. It would appear that Mercury will be the major focus in the new year, and the meeting schedule supports that. Keith pointed out that the end of the Consultative Committee process was now showing a June 2019 timeline for the end of the review period. This represents a two </w:t>
      </w:r>
      <w:r w:rsidR="00937575">
        <w:rPr>
          <w:rFonts w:ascii="Arial" w:eastAsia="Arial" w:hAnsi="Arial" w:cs="Arial"/>
          <w:sz w:val="24"/>
          <w:szCs w:val="24"/>
        </w:rPr>
        <w:t xml:space="preserve">month </w:t>
      </w:r>
      <w:r w:rsidR="00526730">
        <w:rPr>
          <w:rFonts w:ascii="Arial" w:eastAsia="Arial" w:hAnsi="Arial" w:cs="Arial"/>
          <w:sz w:val="24"/>
          <w:szCs w:val="24"/>
        </w:rPr>
        <w:t>delay vs what was reported last month. This would clearly impact the implementation timeline</w:t>
      </w:r>
      <w:r w:rsidR="00937575">
        <w:rPr>
          <w:rFonts w:ascii="Arial" w:eastAsia="Arial" w:hAnsi="Arial" w:cs="Arial"/>
          <w:sz w:val="24"/>
          <w:szCs w:val="24"/>
        </w:rPr>
        <w:t>.</w:t>
      </w:r>
      <w:r w:rsidR="00937575" w:rsidRPr="00937575">
        <w:rPr>
          <w:rFonts w:ascii="Arial" w:eastAsia="Arial" w:hAnsi="Arial" w:cs="Arial"/>
          <w:sz w:val="24"/>
          <w:szCs w:val="24"/>
        </w:rPr>
        <w:t xml:space="preserve"> </w:t>
      </w:r>
      <w:r w:rsidR="00937575">
        <w:rPr>
          <w:rFonts w:ascii="Arial" w:eastAsia="Arial" w:hAnsi="Arial" w:cs="Arial"/>
          <w:sz w:val="24"/>
          <w:szCs w:val="24"/>
        </w:rPr>
        <w:t>Keith hoped that new dates would be communicated later in the day at the Oversight Committee.</w:t>
      </w:r>
    </w:p>
    <w:p w:rsidR="00526730" w:rsidRDefault="00937575" w:rsidP="00F35DBC">
      <w:pPr>
        <w:ind w:left="990"/>
        <w:contextualSpacing/>
        <w:rPr>
          <w:rFonts w:ascii="Arial" w:eastAsia="Arial" w:hAnsi="Arial" w:cs="Arial"/>
          <w:sz w:val="24"/>
          <w:szCs w:val="24"/>
        </w:rPr>
      </w:pPr>
      <w:r>
        <w:rPr>
          <w:rFonts w:ascii="Arial" w:eastAsia="Arial" w:hAnsi="Arial" w:cs="Arial"/>
          <w:sz w:val="24"/>
          <w:szCs w:val="24"/>
        </w:rPr>
        <w:t>Keith also said that Firstnorth had held its first industry meeting with regards to getting agreement on a testing and deployment strategy. There is expected to be a second meeting before the mid December break.</w:t>
      </w:r>
    </w:p>
    <w:p w:rsidR="00F35DBC" w:rsidRPr="00F35DBC" w:rsidRDefault="00F35DBC" w:rsidP="00F35DBC">
      <w:pPr>
        <w:ind w:left="990"/>
        <w:contextualSpacing/>
        <w:rPr>
          <w:rFonts w:ascii="Arial" w:eastAsia="Arial" w:hAnsi="Arial" w:cs="Arial"/>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Questions</w:t>
      </w:r>
    </w:p>
    <w:p w:rsidR="00F35DBC" w:rsidRPr="00F35DBC" w:rsidRDefault="00F35DBC" w:rsidP="00F35DBC">
      <w:pPr>
        <w:ind w:left="1440"/>
        <w:contextualSpacing/>
        <w:rPr>
          <w:rFonts w:ascii="Arial" w:eastAsia="Arial" w:hAnsi="Arial" w:cs="Arial"/>
          <w:sz w:val="24"/>
          <w:szCs w:val="24"/>
        </w:rPr>
      </w:pPr>
      <w:r w:rsidRPr="00F35DBC">
        <w:rPr>
          <w:rFonts w:ascii="Arial" w:eastAsia="Arial" w:hAnsi="Arial" w:cs="Arial"/>
          <w:sz w:val="24"/>
          <w:szCs w:val="24"/>
        </w:rPr>
        <w:t xml:space="preserve">There were </w:t>
      </w:r>
      <w:r w:rsidR="00937575">
        <w:rPr>
          <w:rFonts w:ascii="Arial" w:eastAsia="Arial" w:hAnsi="Arial" w:cs="Arial"/>
          <w:sz w:val="24"/>
          <w:szCs w:val="24"/>
        </w:rPr>
        <w:t xml:space="preserve">a number of questions asked and answered during the discussions noted above. There were </w:t>
      </w:r>
      <w:r w:rsidRPr="00F35DBC">
        <w:rPr>
          <w:rFonts w:ascii="Arial" w:eastAsia="Arial" w:hAnsi="Arial" w:cs="Arial"/>
          <w:sz w:val="24"/>
          <w:szCs w:val="24"/>
        </w:rPr>
        <w:t>no additional questions.</w:t>
      </w:r>
    </w:p>
    <w:p w:rsidR="00F35DBC" w:rsidRPr="00F35DBC" w:rsidRDefault="00F35DBC" w:rsidP="00F35DBC">
      <w:pPr>
        <w:contextualSpacing/>
        <w:rPr>
          <w:rFonts w:ascii="Arial" w:eastAsia="Arial" w:hAnsi="Arial" w:cs="Arial"/>
          <w:b/>
          <w:i/>
          <w:sz w:val="24"/>
          <w:szCs w:val="24"/>
        </w:rPr>
      </w:pPr>
    </w:p>
    <w:p w:rsidR="00F35DBC" w:rsidRPr="00F35DBC" w:rsidRDefault="00F35DBC" w:rsidP="00F35DBC">
      <w:pPr>
        <w:numPr>
          <w:ilvl w:val="0"/>
          <w:numId w:val="2"/>
        </w:numPr>
        <w:contextualSpacing/>
        <w:rPr>
          <w:rFonts w:ascii="Arial" w:eastAsia="Arial" w:hAnsi="Arial" w:cs="Arial"/>
          <w:b/>
          <w:i/>
          <w:sz w:val="24"/>
          <w:szCs w:val="24"/>
        </w:rPr>
      </w:pPr>
      <w:r w:rsidRPr="00F35DBC">
        <w:rPr>
          <w:rFonts w:ascii="Arial" w:eastAsia="Arial" w:hAnsi="Arial" w:cs="Arial"/>
          <w:b/>
          <w:i/>
          <w:sz w:val="24"/>
          <w:szCs w:val="24"/>
        </w:rPr>
        <w:t>Next Meeting</w:t>
      </w:r>
    </w:p>
    <w:p w:rsidR="00F35DBC" w:rsidRPr="00F35DBC" w:rsidRDefault="00F35DBC" w:rsidP="00F35DBC">
      <w:pPr>
        <w:ind w:left="1440"/>
        <w:contextualSpacing/>
        <w:rPr>
          <w:rFonts w:ascii="Arial" w:eastAsia="Arial" w:hAnsi="Arial" w:cs="Arial"/>
          <w:sz w:val="24"/>
          <w:szCs w:val="24"/>
        </w:rPr>
      </w:pPr>
      <w:r w:rsidRPr="00F35DBC">
        <w:rPr>
          <w:rFonts w:ascii="Arial" w:eastAsia="Arial" w:hAnsi="Arial" w:cs="Arial"/>
          <w:sz w:val="24"/>
          <w:szCs w:val="24"/>
        </w:rPr>
        <w:t xml:space="preserve">The next meeting of the Post Trade Modernization Project - Advisory Council is scheduled for Wednesday </w:t>
      </w:r>
      <w:r w:rsidR="003E1F1A">
        <w:rPr>
          <w:rFonts w:ascii="Arial" w:eastAsia="Arial" w:hAnsi="Arial" w:cs="Arial"/>
          <w:sz w:val="24"/>
          <w:szCs w:val="24"/>
        </w:rPr>
        <w:t>December 19</w:t>
      </w:r>
      <w:r w:rsidRPr="00F35DBC">
        <w:rPr>
          <w:rFonts w:ascii="Arial" w:eastAsia="Arial" w:hAnsi="Arial" w:cs="Arial"/>
          <w:sz w:val="24"/>
          <w:szCs w:val="24"/>
        </w:rPr>
        <w:t>, 2018 at 9:30 AM Eastern.</w:t>
      </w:r>
    </w:p>
    <w:p w:rsidR="00F35DBC" w:rsidRDefault="00F35DBC" w:rsidP="00F35DBC">
      <w:pPr>
        <w:contextualSpacing/>
        <w:jc w:val="center"/>
        <w:rPr>
          <w:rFonts w:ascii="Arial" w:eastAsia="Arial" w:hAnsi="Arial" w:cs="Arial"/>
          <w:sz w:val="24"/>
          <w:szCs w:val="24"/>
        </w:rPr>
      </w:pPr>
    </w:p>
    <w:p w:rsidR="003E1F1A" w:rsidRDefault="003E1F1A" w:rsidP="00F35DBC">
      <w:pPr>
        <w:contextualSpacing/>
        <w:jc w:val="center"/>
        <w:rPr>
          <w:rFonts w:ascii="Arial" w:eastAsia="Arial" w:hAnsi="Arial" w:cs="Arial"/>
          <w:sz w:val="24"/>
          <w:szCs w:val="24"/>
        </w:rPr>
      </w:pPr>
    </w:p>
    <w:p w:rsidR="003E1F1A" w:rsidRPr="00F35DBC" w:rsidRDefault="003E1F1A" w:rsidP="00F35DBC">
      <w:pPr>
        <w:contextualSpacing/>
        <w:jc w:val="center"/>
        <w:rPr>
          <w:rFonts w:ascii="Arial" w:eastAsia="Arial" w:hAnsi="Arial" w:cs="Arial"/>
          <w:sz w:val="24"/>
          <w:szCs w:val="24"/>
        </w:rPr>
      </w:pPr>
    </w:p>
    <w:p w:rsidR="00F35DBC" w:rsidRPr="00F35DBC" w:rsidRDefault="00F35DBC" w:rsidP="00F35DBC">
      <w:pPr>
        <w:contextualSpacing/>
        <w:jc w:val="center"/>
        <w:rPr>
          <w:rFonts w:ascii="Arial" w:eastAsia="Arial" w:hAnsi="Arial" w:cs="Arial"/>
          <w:sz w:val="24"/>
          <w:szCs w:val="24"/>
        </w:rPr>
      </w:pPr>
    </w:p>
    <w:p w:rsidR="00F35DBC" w:rsidRPr="00F35DBC" w:rsidRDefault="00F35DBC" w:rsidP="00F35DBC">
      <w:pPr>
        <w:contextualSpacing/>
        <w:jc w:val="center"/>
        <w:rPr>
          <w:rFonts w:ascii="Arial" w:eastAsia="Arial" w:hAnsi="Arial" w:cs="Arial"/>
          <w:b/>
          <w:sz w:val="32"/>
          <w:szCs w:val="32"/>
        </w:rPr>
      </w:pPr>
      <w:r w:rsidRPr="00F35DBC">
        <w:rPr>
          <w:rFonts w:ascii="Arial" w:eastAsia="Arial" w:hAnsi="Arial" w:cs="Arial"/>
          <w:b/>
          <w:sz w:val="32"/>
          <w:szCs w:val="32"/>
        </w:rPr>
        <w:lastRenderedPageBreak/>
        <w:t>ATTENDEES</w:t>
      </w:r>
    </w:p>
    <w:tbl>
      <w:tblPr>
        <w:tblW w:w="7775" w:type="dxa"/>
        <w:tblLook w:val="04A0" w:firstRow="1" w:lastRow="0" w:firstColumn="1" w:lastColumn="0" w:noHBand="0" w:noVBand="1"/>
      </w:tblPr>
      <w:tblGrid>
        <w:gridCol w:w="1800"/>
        <w:gridCol w:w="8"/>
        <w:gridCol w:w="2172"/>
        <w:gridCol w:w="18"/>
        <w:gridCol w:w="3742"/>
        <w:gridCol w:w="35"/>
      </w:tblGrid>
      <w:tr w:rsidR="00F35DBC" w:rsidRPr="00F35DBC" w:rsidTr="00926928">
        <w:trPr>
          <w:trHeight w:val="312"/>
        </w:trPr>
        <w:tc>
          <w:tcPr>
            <w:tcW w:w="1808" w:type="dxa"/>
            <w:gridSpan w:val="2"/>
            <w:tcBorders>
              <w:top w:val="nil"/>
              <w:left w:val="nil"/>
              <w:bottom w:val="nil"/>
              <w:right w:val="nil"/>
            </w:tcBorders>
            <w:shd w:val="clear" w:color="auto" w:fill="auto"/>
            <w:vAlign w:val="bottom"/>
            <w:hideMark/>
          </w:tcPr>
          <w:p w:rsidR="00F35DBC" w:rsidRPr="00F35DBC" w:rsidRDefault="00F35DBC" w:rsidP="00F35DBC">
            <w:pPr>
              <w:spacing w:after="0" w:line="240" w:lineRule="auto"/>
              <w:jc w:val="center"/>
              <w:rPr>
                <w:rFonts w:ascii="Arial" w:eastAsia="Times New Roman" w:hAnsi="Arial" w:cs="Arial"/>
                <w:b/>
                <w:bCs/>
                <w:color w:val="000000"/>
                <w:sz w:val="24"/>
                <w:szCs w:val="24"/>
              </w:rPr>
            </w:pPr>
            <w:r w:rsidRPr="00F35DBC">
              <w:rPr>
                <w:rFonts w:ascii="Arial" w:eastAsia="Times New Roman" w:hAnsi="Arial" w:cs="Arial"/>
                <w:b/>
                <w:bCs/>
                <w:color w:val="000000"/>
                <w:sz w:val="24"/>
                <w:szCs w:val="24"/>
              </w:rPr>
              <w:t>In Attendance</w:t>
            </w:r>
          </w:p>
        </w:tc>
        <w:tc>
          <w:tcPr>
            <w:tcW w:w="2190" w:type="dxa"/>
            <w:gridSpan w:val="2"/>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b/>
                <w:bCs/>
                <w:color w:val="000000"/>
                <w:sz w:val="24"/>
                <w:szCs w:val="24"/>
              </w:rPr>
            </w:pPr>
            <w:r w:rsidRPr="00F35DBC">
              <w:rPr>
                <w:rFonts w:ascii="Arial" w:eastAsia="Times New Roman" w:hAnsi="Arial" w:cs="Arial"/>
                <w:b/>
                <w:bCs/>
                <w:color w:val="000000"/>
                <w:sz w:val="24"/>
                <w:szCs w:val="24"/>
              </w:rPr>
              <w:t>Firm</w:t>
            </w:r>
          </w:p>
        </w:tc>
        <w:tc>
          <w:tcPr>
            <w:tcW w:w="3777" w:type="dxa"/>
            <w:gridSpan w:val="2"/>
            <w:tcBorders>
              <w:top w:val="nil"/>
              <w:left w:val="nil"/>
              <w:bottom w:val="nil"/>
              <w:right w:val="nil"/>
            </w:tcBorders>
            <w:shd w:val="clear" w:color="auto" w:fill="auto"/>
            <w:vAlign w:val="center"/>
            <w:hideMark/>
          </w:tcPr>
          <w:p w:rsidR="00F35DBC" w:rsidRPr="00F35DBC" w:rsidRDefault="00F35DBC" w:rsidP="00F35DBC">
            <w:pPr>
              <w:spacing w:after="0" w:line="240" w:lineRule="auto"/>
              <w:rPr>
                <w:rFonts w:ascii="Arial" w:eastAsia="Times New Roman" w:hAnsi="Arial" w:cs="Arial"/>
                <w:b/>
                <w:bCs/>
                <w:color w:val="000000"/>
                <w:sz w:val="24"/>
                <w:szCs w:val="24"/>
              </w:rPr>
            </w:pPr>
            <w:r w:rsidRPr="00F35DBC">
              <w:rPr>
                <w:rFonts w:ascii="Arial" w:eastAsia="Times New Roman" w:hAnsi="Arial" w:cs="Arial"/>
                <w:b/>
                <w:bCs/>
                <w:color w:val="000000"/>
                <w:sz w:val="24"/>
                <w:szCs w:val="24"/>
              </w:rPr>
              <w:t>Name</w:t>
            </w:r>
          </w:p>
        </w:tc>
      </w:tr>
      <w:tr w:rsidR="00F35DBC" w:rsidRPr="00F35DBC" w:rsidTr="00926928">
        <w:trPr>
          <w:trHeight w:val="312"/>
        </w:trPr>
        <w:tc>
          <w:tcPr>
            <w:tcW w:w="1808" w:type="dxa"/>
            <w:gridSpan w:val="2"/>
            <w:tcBorders>
              <w:top w:val="nil"/>
              <w:left w:val="nil"/>
              <w:bottom w:val="nil"/>
              <w:right w:val="nil"/>
            </w:tcBorders>
            <w:shd w:val="clear" w:color="auto" w:fill="auto"/>
            <w:vAlign w:val="bottom"/>
            <w:hideMark/>
          </w:tcPr>
          <w:p w:rsidR="00F35DBC" w:rsidRPr="00F35DBC" w:rsidRDefault="00F35DBC" w:rsidP="00F35DBC">
            <w:pPr>
              <w:spacing w:after="0" w:line="240" w:lineRule="auto"/>
              <w:rPr>
                <w:rFonts w:ascii="Arial" w:eastAsia="Times New Roman" w:hAnsi="Arial" w:cs="Arial"/>
                <w:b/>
                <w:bCs/>
                <w:color w:val="000000"/>
                <w:sz w:val="24"/>
                <w:szCs w:val="24"/>
              </w:rPr>
            </w:pPr>
          </w:p>
        </w:tc>
        <w:tc>
          <w:tcPr>
            <w:tcW w:w="2190" w:type="dxa"/>
            <w:gridSpan w:val="2"/>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c>
          <w:tcPr>
            <w:tcW w:w="3777" w:type="dxa"/>
            <w:gridSpan w:val="2"/>
            <w:tcBorders>
              <w:top w:val="nil"/>
              <w:left w:val="nil"/>
              <w:bottom w:val="nil"/>
              <w:right w:val="nil"/>
            </w:tcBorders>
            <w:shd w:val="clear" w:color="auto" w:fill="auto"/>
            <w:vAlign w:val="center"/>
            <w:hideMark/>
          </w:tcPr>
          <w:p w:rsidR="00F35DBC" w:rsidRPr="00F35DBC" w:rsidRDefault="00F35DBC" w:rsidP="00F35DBC">
            <w:pPr>
              <w:spacing w:after="0" w:line="240" w:lineRule="auto"/>
              <w:jc w:val="center"/>
              <w:rPr>
                <w:rFonts w:ascii="Times New Roman" w:eastAsia="Times New Roman" w:hAnsi="Times New Roman" w:cs="Times New Roman"/>
              </w:rPr>
            </w:pPr>
          </w:p>
        </w:tc>
      </w:tr>
      <w:tr w:rsidR="00F35DBC" w:rsidRPr="00F35DBC" w:rsidTr="00926928">
        <w:trPr>
          <w:trHeight w:val="312"/>
        </w:trPr>
        <w:tc>
          <w:tcPr>
            <w:tcW w:w="1808" w:type="dxa"/>
            <w:gridSpan w:val="2"/>
            <w:tcBorders>
              <w:top w:val="nil"/>
              <w:left w:val="nil"/>
              <w:bottom w:val="nil"/>
              <w:right w:val="nil"/>
            </w:tcBorders>
            <w:shd w:val="clear" w:color="auto" w:fill="auto"/>
            <w:vAlign w:val="bottom"/>
          </w:tcPr>
          <w:p w:rsidR="00F35DBC" w:rsidRPr="00F35DBC" w:rsidRDefault="00F35DBC" w:rsidP="00F35DBC">
            <w:pPr>
              <w:spacing w:after="0" w:line="240" w:lineRule="auto"/>
              <w:jc w:val="center"/>
              <w:rPr>
                <w:rFonts w:ascii="Arial" w:eastAsia="Times New Roman" w:hAnsi="Arial" w:cs="Arial"/>
                <w:color w:val="000000"/>
                <w:sz w:val="24"/>
                <w:szCs w:val="24"/>
              </w:rPr>
            </w:pPr>
          </w:p>
        </w:tc>
        <w:tc>
          <w:tcPr>
            <w:tcW w:w="2190" w:type="dxa"/>
            <w:gridSpan w:val="2"/>
            <w:tcBorders>
              <w:top w:val="nil"/>
              <w:left w:val="nil"/>
              <w:bottom w:val="nil"/>
              <w:right w:val="nil"/>
            </w:tcBorders>
            <w:shd w:val="clear" w:color="auto" w:fill="auto"/>
            <w:vAlign w:val="center"/>
          </w:tcPr>
          <w:p w:rsidR="00F35DBC" w:rsidRPr="00F35DBC" w:rsidRDefault="00F35DBC" w:rsidP="00F35DBC">
            <w:pPr>
              <w:spacing w:after="0" w:line="240" w:lineRule="auto"/>
              <w:rPr>
                <w:rFonts w:ascii="Arial" w:eastAsia="Times New Roman" w:hAnsi="Arial" w:cs="Arial"/>
                <w:color w:val="000000"/>
                <w:sz w:val="24"/>
                <w:szCs w:val="24"/>
              </w:rPr>
            </w:pPr>
          </w:p>
        </w:tc>
        <w:tc>
          <w:tcPr>
            <w:tcW w:w="3777" w:type="dxa"/>
            <w:gridSpan w:val="2"/>
            <w:tcBorders>
              <w:top w:val="nil"/>
              <w:left w:val="nil"/>
              <w:bottom w:val="nil"/>
              <w:right w:val="nil"/>
            </w:tcBorders>
            <w:shd w:val="clear" w:color="auto" w:fill="auto"/>
            <w:vAlign w:val="center"/>
          </w:tcPr>
          <w:p w:rsidR="00F35DBC" w:rsidRPr="00F35DBC" w:rsidRDefault="00F35DBC" w:rsidP="00F35DBC">
            <w:pPr>
              <w:spacing w:after="0" w:line="240" w:lineRule="auto"/>
              <w:rPr>
                <w:rFonts w:ascii="Arial" w:eastAsia="Times New Roman" w:hAnsi="Arial" w:cs="Arial"/>
                <w:color w:val="000000"/>
                <w:sz w:val="24"/>
                <w:szCs w:val="24"/>
              </w:rPr>
            </w:pP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CCMA</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Keith Evans        Co-Chair</w:t>
            </w:r>
          </w:p>
        </w:tc>
      </w:tr>
      <w:tr w:rsidR="00926928" w:rsidRPr="00926928" w:rsidTr="00926928">
        <w:trPr>
          <w:gridAfter w:val="1"/>
          <w:wAfter w:w="35" w:type="dxa"/>
          <w:trHeight w:val="300"/>
        </w:trPr>
        <w:tc>
          <w:tcPr>
            <w:tcW w:w="1800" w:type="dxa"/>
            <w:tcBorders>
              <w:top w:val="nil"/>
              <w:left w:val="nil"/>
              <w:bottom w:val="nil"/>
              <w:right w:val="nil"/>
            </w:tcBorders>
            <w:shd w:val="clear" w:color="auto" w:fill="auto"/>
            <w:noWrap/>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CIBC</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Greg Holmes      Co-Chair</w:t>
            </w:r>
          </w:p>
        </w:tc>
      </w:tr>
      <w:tr w:rsidR="00926928" w:rsidRPr="00926928" w:rsidTr="00926928">
        <w:trPr>
          <w:gridAfter w:val="1"/>
          <w:wAfter w:w="35" w:type="dxa"/>
          <w:trHeight w:val="300"/>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AMF</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Aram Seye</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Francis Coche</w:t>
            </w:r>
          </w:p>
        </w:tc>
      </w:tr>
      <w:tr w:rsidR="00926928" w:rsidRPr="00926928" w:rsidTr="00926928">
        <w:trPr>
          <w:gridAfter w:val="1"/>
          <w:wAfter w:w="35" w:type="dxa"/>
          <w:trHeight w:val="324"/>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Tan Herman</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AST Trust</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Mark Cohen</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Bank of Canada</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Christian Belisle</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Benoit Genest</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Fuwad Siddiqi</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Eric Chouinard</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Danika Cheff</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BBS</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Deborah Carlyle</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BLC</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Sylvain Morissette</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Broadridge</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Mary-Beth Law</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Doug Gifford</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Angie Fernando</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Sahil Duggal</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Canaccord</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John Coyle</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Sheera Badial</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Brenda McIntyre</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Simon Whitney</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Casgrain</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Pierre Mital</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CDS</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Anne Fiddes</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Johann Lochner</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Daniel Farley</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Paul Barbara</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Fiesal Abrahim</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Margaret Reid</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Laura Ellick</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Joseph Chau</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Lucy Mullins</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Paula Barnes</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Cathy Trombino</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Sergio Zanga</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CETFA</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Pat Dunwoody</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CGI</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Steven Dulhanty</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CIBC</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Narry Teemal</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CIBC Mellon</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Carol Revoredo</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Louis Lesnika</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Computershare</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Donna McLaughlin</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Lara Donaldson</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Credit Suisse</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Wayne Cowel</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Sam Farrell</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Edward Jones</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Paul Camarata</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Brandon Wong</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ETC</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Dianne Graham</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ETF</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Nathan Picard</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E&amp;Y</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Jennifer Liu</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Fidelity</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Stephanie Leblanc-Mchenry</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Rob Argue</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Carole Perrault</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Peter Burns</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John Little</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Durdica Ivic-Jezernik</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Firstnorth</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John Packwood</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Howard Bayne</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5D0892" w:rsidP="005D0892">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Dan Brennan</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GMP</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Joe Riga</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IIROC</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Marsha Gerhart</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Answerd Ramcharan</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Leede/Jones</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Lynn Higgins</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National Bank</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Nelson Dugre-Sasseville</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Northern Trust</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Domenic Sgambelluri</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OSC</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Emily Sutlic</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CD585A" w:rsidP="00CD585A">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Aaron Ferguson</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Cosmin Cazan</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Rezarte Vukatana</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Youssef Sekal</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Paramax</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Gary Stephenson</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Allyn Howe</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Pershing</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Scott Reifer</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PWC</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Tony Kalvik</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RBC-IS</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David Moore</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Chris Strong</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Doug Allard</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Allan Tonner</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Jill Morrison</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RBC-WM</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Jason O’Born</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Scotiabank</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Mike Bieley</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SS&amp;C</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Paul Skuriat</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Statestreet</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Denny Mendoca</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Maggie Salisbury</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Robert Bauer</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Adam Forsythe</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Adrian Chicayah</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Nathan Picard</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TD Bank</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Michael Kenney</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Geoff Baxter</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Arial" w:eastAsia="Times New Roman" w:hAnsi="Arial" w:cs="Arial"/>
                <w:color w:val="000000"/>
                <w:sz w:val="24"/>
                <w:szCs w:val="24"/>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James Mikelson</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Gustavo Garcia-Herreros</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Rob Candido</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jc w:val="center"/>
              <w:rPr>
                <w:rFonts w:ascii="Arial" w:eastAsia="Times New Roman" w:hAnsi="Arial" w:cs="Arial"/>
                <w:color w:val="000000"/>
                <w:sz w:val="24"/>
                <w:szCs w:val="24"/>
              </w:rPr>
            </w:pPr>
            <w:r w:rsidRPr="00926928">
              <w:rPr>
                <w:rFonts w:ascii="Arial" w:eastAsia="Times New Roman" w:hAnsi="Arial" w:cs="Arial"/>
                <w:color w:val="000000"/>
                <w:sz w:val="24"/>
                <w:szCs w:val="24"/>
              </w:rPr>
              <w:t>X</w:t>
            </w: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Consultant</w:t>
            </w: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Dave O’Marra</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Barb Amsden</w:t>
            </w:r>
          </w:p>
        </w:tc>
      </w:tr>
      <w:tr w:rsidR="00926928" w:rsidRPr="00926928" w:rsidTr="00926928">
        <w:trPr>
          <w:gridAfter w:val="1"/>
          <w:wAfter w:w="35" w:type="dxa"/>
          <w:trHeight w:val="312"/>
        </w:trPr>
        <w:tc>
          <w:tcPr>
            <w:tcW w:w="1800" w:type="dxa"/>
            <w:tcBorders>
              <w:top w:val="nil"/>
              <w:left w:val="nil"/>
              <w:bottom w:val="nil"/>
              <w:right w:val="nil"/>
            </w:tcBorders>
            <w:shd w:val="clear" w:color="auto" w:fill="auto"/>
            <w:vAlign w:val="bottom"/>
            <w:hideMark/>
          </w:tcPr>
          <w:p w:rsidR="00926928" w:rsidRPr="00926928" w:rsidRDefault="00926928" w:rsidP="00926928">
            <w:pPr>
              <w:spacing w:after="0" w:line="240" w:lineRule="auto"/>
              <w:rPr>
                <w:rFonts w:ascii="Arial" w:eastAsia="Times New Roman" w:hAnsi="Arial" w:cs="Arial"/>
                <w:color w:val="000000"/>
                <w:sz w:val="24"/>
                <w:szCs w:val="24"/>
              </w:rPr>
            </w:pPr>
          </w:p>
        </w:tc>
        <w:tc>
          <w:tcPr>
            <w:tcW w:w="218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jc w:val="center"/>
              <w:rPr>
                <w:rFonts w:ascii="Times New Roman" w:eastAsia="Times New Roman" w:hAnsi="Times New Roman" w:cs="Times New Roman"/>
              </w:rPr>
            </w:pPr>
          </w:p>
        </w:tc>
        <w:tc>
          <w:tcPr>
            <w:tcW w:w="3760" w:type="dxa"/>
            <w:gridSpan w:val="2"/>
            <w:tcBorders>
              <w:top w:val="nil"/>
              <w:left w:val="nil"/>
              <w:bottom w:val="nil"/>
              <w:right w:val="nil"/>
            </w:tcBorders>
            <w:shd w:val="clear" w:color="auto" w:fill="auto"/>
            <w:vAlign w:val="center"/>
            <w:hideMark/>
          </w:tcPr>
          <w:p w:rsidR="00926928" w:rsidRPr="00926928" w:rsidRDefault="00926928" w:rsidP="00926928">
            <w:pPr>
              <w:spacing w:after="0" w:line="240" w:lineRule="auto"/>
              <w:rPr>
                <w:rFonts w:ascii="Arial" w:eastAsia="Times New Roman" w:hAnsi="Arial" w:cs="Arial"/>
                <w:color w:val="000000"/>
                <w:sz w:val="24"/>
                <w:szCs w:val="24"/>
              </w:rPr>
            </w:pPr>
            <w:r w:rsidRPr="00926928">
              <w:rPr>
                <w:rFonts w:ascii="Arial" w:eastAsia="Times New Roman" w:hAnsi="Arial" w:cs="Arial"/>
                <w:color w:val="000000"/>
                <w:sz w:val="24"/>
                <w:szCs w:val="24"/>
              </w:rPr>
              <w:t>Laurie Clarke</w:t>
            </w:r>
          </w:p>
        </w:tc>
      </w:tr>
    </w:tbl>
    <w:p w:rsidR="006C7D54" w:rsidRPr="00F35DBC" w:rsidRDefault="006C7D54" w:rsidP="00F35DBC">
      <w:bookmarkStart w:id="1" w:name="_GoBack"/>
      <w:bookmarkEnd w:id="1"/>
    </w:p>
    <w:sectPr w:rsidR="006C7D54" w:rsidRPr="00F35DBC">
      <w:headerReference w:type="default" r:id="rId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C75" w:rsidRDefault="00DB6C75">
      <w:pPr>
        <w:spacing w:after="0" w:line="240" w:lineRule="auto"/>
      </w:pPr>
      <w:r>
        <w:separator/>
      </w:r>
    </w:p>
  </w:endnote>
  <w:endnote w:type="continuationSeparator" w:id="0">
    <w:p w:rsidR="00DB6C75" w:rsidRDefault="00DB6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C75" w:rsidRDefault="00DB6C75">
      <w:pPr>
        <w:spacing w:after="0" w:line="240" w:lineRule="auto"/>
      </w:pPr>
      <w:r>
        <w:separator/>
      </w:r>
    </w:p>
  </w:footnote>
  <w:footnote w:type="continuationSeparator" w:id="0">
    <w:p w:rsidR="00DB6C75" w:rsidRDefault="00DB6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3F9" w:rsidRDefault="004973F9">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4973F9" w:rsidRDefault="004973F9">
    <w:pPr>
      <w:tabs>
        <w:tab w:val="center" w:pos="4680"/>
        <w:tab w:val="right" w:pos="9360"/>
      </w:tabs>
      <w:spacing w:after="0" w:line="240" w:lineRule="auto"/>
    </w:pPr>
  </w:p>
  <w:p w:rsidR="004973F9" w:rsidRDefault="004973F9">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Pr>
        <w:rFonts w:ascii="Arial" w:eastAsia="Arial" w:hAnsi="Arial" w:cs="Arial"/>
        <w:b/>
        <w:color w:val="FF0000"/>
        <w:sz w:val="24"/>
        <w:szCs w:val="24"/>
      </w:rPr>
      <w:tab/>
    </w:r>
  </w:p>
  <w:p w:rsidR="004973F9" w:rsidRDefault="004973F9">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Pr>
        <w:rFonts w:ascii="Arial" w:eastAsia="Arial" w:hAnsi="Arial" w:cs="Arial"/>
        <w:b/>
        <w:color w:val="FF0000"/>
        <w:sz w:val="24"/>
        <w:szCs w:val="24"/>
      </w:rPr>
      <w:tab/>
    </w:r>
    <w:bookmarkStart w:id="2" w:name="_top"/>
    <w:bookmarkEnd w:id="2"/>
  </w:p>
  <w:p w:rsidR="004973F9" w:rsidRDefault="004973F9">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3" w15:restartNumberingAfterBreak="0">
    <w:nsid w:val="111B5CE6"/>
    <w:multiLevelType w:val="multilevel"/>
    <w:tmpl w:val="62B8AFC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B305894"/>
    <w:multiLevelType w:val="multilevel"/>
    <w:tmpl w:val="BB229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DB439C"/>
    <w:multiLevelType w:val="multilevel"/>
    <w:tmpl w:val="D4B6F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430B89"/>
    <w:multiLevelType w:val="multilevel"/>
    <w:tmpl w:val="A6F0D0EE"/>
    <w:lvl w:ilvl="0">
      <w:start w:val="1"/>
      <w:numFmt w:val="decimal"/>
      <w:lvlText w:val="%1."/>
      <w:lvlJc w:val="left"/>
      <w:pPr>
        <w:ind w:left="990" w:hanging="360"/>
      </w:pPr>
    </w:lvl>
    <w:lvl w:ilvl="1">
      <w:start w:val="1"/>
      <w:numFmt w:val="lowerLetter"/>
      <w:lvlText w:val="%2."/>
      <w:lvlJc w:val="left"/>
      <w:pPr>
        <w:ind w:left="1710" w:hanging="360"/>
      </w:pPr>
    </w:lvl>
    <w:lvl w:ilvl="2">
      <w:start w:val="1"/>
      <w:numFmt w:val="bullet"/>
      <w:lvlText w:val=""/>
      <w:lvlJc w:val="left"/>
      <w:pPr>
        <w:ind w:left="2430" w:hanging="180"/>
      </w:pPr>
      <w:rPr>
        <w:rFonts w:ascii="Symbol" w:hAnsi="Symbol" w:hint="default"/>
      </w:r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abstractNumId w:val="3"/>
  </w:num>
  <w:num w:numId="2">
    <w:abstractNumId w:val="7"/>
  </w:num>
  <w:num w:numId="3">
    <w:abstractNumId w:val="2"/>
  </w:num>
  <w:num w:numId="4">
    <w:abstractNumId w:val="0"/>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07B94"/>
    <w:rsid w:val="00024A5D"/>
    <w:rsid w:val="00030CD2"/>
    <w:rsid w:val="00040F83"/>
    <w:rsid w:val="00062F77"/>
    <w:rsid w:val="00065544"/>
    <w:rsid w:val="00066C50"/>
    <w:rsid w:val="000702B5"/>
    <w:rsid w:val="00074444"/>
    <w:rsid w:val="000A1B9C"/>
    <w:rsid w:val="000A29AA"/>
    <w:rsid w:val="000B7C46"/>
    <w:rsid w:val="000E358C"/>
    <w:rsid w:val="000F1CEB"/>
    <w:rsid w:val="000F2562"/>
    <w:rsid w:val="00111C08"/>
    <w:rsid w:val="00117429"/>
    <w:rsid w:val="00131D81"/>
    <w:rsid w:val="00157A7A"/>
    <w:rsid w:val="00161C57"/>
    <w:rsid w:val="0019284B"/>
    <w:rsid w:val="001949DE"/>
    <w:rsid w:val="001A396F"/>
    <w:rsid w:val="001A6B96"/>
    <w:rsid w:val="001C2D8E"/>
    <w:rsid w:val="001C7F70"/>
    <w:rsid w:val="001F5F14"/>
    <w:rsid w:val="00200588"/>
    <w:rsid w:val="00216797"/>
    <w:rsid w:val="00222CDB"/>
    <w:rsid w:val="0022799D"/>
    <w:rsid w:val="00246316"/>
    <w:rsid w:val="002479E4"/>
    <w:rsid w:val="00250D9D"/>
    <w:rsid w:val="00256D83"/>
    <w:rsid w:val="00260A4D"/>
    <w:rsid w:val="0026155F"/>
    <w:rsid w:val="002822E2"/>
    <w:rsid w:val="00287751"/>
    <w:rsid w:val="002A2800"/>
    <w:rsid w:val="002B2AA8"/>
    <w:rsid w:val="002B7329"/>
    <w:rsid w:val="00311E5D"/>
    <w:rsid w:val="0033128A"/>
    <w:rsid w:val="00340E3C"/>
    <w:rsid w:val="0034713D"/>
    <w:rsid w:val="003539D2"/>
    <w:rsid w:val="00353DEA"/>
    <w:rsid w:val="003623C9"/>
    <w:rsid w:val="00363531"/>
    <w:rsid w:val="00364183"/>
    <w:rsid w:val="0036446F"/>
    <w:rsid w:val="003822FB"/>
    <w:rsid w:val="00387720"/>
    <w:rsid w:val="003A4AF8"/>
    <w:rsid w:val="003C0B5A"/>
    <w:rsid w:val="003C7ADE"/>
    <w:rsid w:val="003E1F1A"/>
    <w:rsid w:val="003E34F5"/>
    <w:rsid w:val="003F675E"/>
    <w:rsid w:val="004059CC"/>
    <w:rsid w:val="00405E8A"/>
    <w:rsid w:val="00436B49"/>
    <w:rsid w:val="00455132"/>
    <w:rsid w:val="00457578"/>
    <w:rsid w:val="0046172F"/>
    <w:rsid w:val="00474627"/>
    <w:rsid w:val="00487A46"/>
    <w:rsid w:val="004973F9"/>
    <w:rsid w:val="004B037E"/>
    <w:rsid w:val="004C11B4"/>
    <w:rsid w:val="00526730"/>
    <w:rsid w:val="00533872"/>
    <w:rsid w:val="005919B5"/>
    <w:rsid w:val="005C3B8C"/>
    <w:rsid w:val="005D0892"/>
    <w:rsid w:val="005D2646"/>
    <w:rsid w:val="005D32BC"/>
    <w:rsid w:val="005E1CC9"/>
    <w:rsid w:val="005F1BA4"/>
    <w:rsid w:val="006045B2"/>
    <w:rsid w:val="00613FA9"/>
    <w:rsid w:val="00661238"/>
    <w:rsid w:val="006661F5"/>
    <w:rsid w:val="0067307B"/>
    <w:rsid w:val="00684E10"/>
    <w:rsid w:val="0069472A"/>
    <w:rsid w:val="006A710F"/>
    <w:rsid w:val="006B7B47"/>
    <w:rsid w:val="006C0364"/>
    <w:rsid w:val="006C7D54"/>
    <w:rsid w:val="006D0D72"/>
    <w:rsid w:val="006D7517"/>
    <w:rsid w:val="006E7E04"/>
    <w:rsid w:val="00706400"/>
    <w:rsid w:val="00711A22"/>
    <w:rsid w:val="00732F0C"/>
    <w:rsid w:val="00755394"/>
    <w:rsid w:val="0076349E"/>
    <w:rsid w:val="007705D1"/>
    <w:rsid w:val="00777A0C"/>
    <w:rsid w:val="00791121"/>
    <w:rsid w:val="007B4878"/>
    <w:rsid w:val="007F6176"/>
    <w:rsid w:val="00800F1B"/>
    <w:rsid w:val="00820192"/>
    <w:rsid w:val="0085370C"/>
    <w:rsid w:val="00872FE9"/>
    <w:rsid w:val="00884162"/>
    <w:rsid w:val="008B4E31"/>
    <w:rsid w:val="008C5B44"/>
    <w:rsid w:val="008D3061"/>
    <w:rsid w:val="008D4779"/>
    <w:rsid w:val="008E006D"/>
    <w:rsid w:val="008F54E3"/>
    <w:rsid w:val="00900143"/>
    <w:rsid w:val="00926928"/>
    <w:rsid w:val="00934BB8"/>
    <w:rsid w:val="00937575"/>
    <w:rsid w:val="009521A6"/>
    <w:rsid w:val="00955EB0"/>
    <w:rsid w:val="00962954"/>
    <w:rsid w:val="0096751D"/>
    <w:rsid w:val="00990E7C"/>
    <w:rsid w:val="00993B7D"/>
    <w:rsid w:val="009A6925"/>
    <w:rsid w:val="00A23069"/>
    <w:rsid w:val="00A4083B"/>
    <w:rsid w:val="00A40ED7"/>
    <w:rsid w:val="00A76B43"/>
    <w:rsid w:val="00A874D8"/>
    <w:rsid w:val="00AA0385"/>
    <w:rsid w:val="00AB3058"/>
    <w:rsid w:val="00AC1981"/>
    <w:rsid w:val="00AD1599"/>
    <w:rsid w:val="00AD7231"/>
    <w:rsid w:val="00B17591"/>
    <w:rsid w:val="00B20123"/>
    <w:rsid w:val="00B57130"/>
    <w:rsid w:val="00BB1E02"/>
    <w:rsid w:val="00BC0628"/>
    <w:rsid w:val="00BC5B74"/>
    <w:rsid w:val="00BC5F1C"/>
    <w:rsid w:val="00BE1364"/>
    <w:rsid w:val="00C06B95"/>
    <w:rsid w:val="00C224EF"/>
    <w:rsid w:val="00C700F7"/>
    <w:rsid w:val="00C75AA1"/>
    <w:rsid w:val="00C86A11"/>
    <w:rsid w:val="00C93AE1"/>
    <w:rsid w:val="00CA5C8E"/>
    <w:rsid w:val="00CB6B61"/>
    <w:rsid w:val="00CC03C6"/>
    <w:rsid w:val="00CD585A"/>
    <w:rsid w:val="00CF55D9"/>
    <w:rsid w:val="00D14DC0"/>
    <w:rsid w:val="00D2724D"/>
    <w:rsid w:val="00D649AE"/>
    <w:rsid w:val="00D726AF"/>
    <w:rsid w:val="00D85436"/>
    <w:rsid w:val="00DB6C75"/>
    <w:rsid w:val="00DE06AE"/>
    <w:rsid w:val="00DE6E9F"/>
    <w:rsid w:val="00DF0ACD"/>
    <w:rsid w:val="00E00628"/>
    <w:rsid w:val="00E315FB"/>
    <w:rsid w:val="00E32CD8"/>
    <w:rsid w:val="00E52462"/>
    <w:rsid w:val="00E636DC"/>
    <w:rsid w:val="00EB1C52"/>
    <w:rsid w:val="00ED0683"/>
    <w:rsid w:val="00EE6605"/>
    <w:rsid w:val="00EF457B"/>
    <w:rsid w:val="00F126D9"/>
    <w:rsid w:val="00F32E6E"/>
    <w:rsid w:val="00F3515A"/>
    <w:rsid w:val="00F35DBC"/>
    <w:rsid w:val="00F44DBC"/>
    <w:rsid w:val="00F61272"/>
    <w:rsid w:val="00F851BD"/>
    <w:rsid w:val="00FD1867"/>
    <w:rsid w:val="00F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0425174">
      <w:bodyDiv w:val="1"/>
      <w:marLeft w:val="0"/>
      <w:marRight w:val="0"/>
      <w:marTop w:val="0"/>
      <w:marBottom w:val="0"/>
      <w:divBdr>
        <w:top w:val="none" w:sz="0" w:space="0" w:color="auto"/>
        <w:left w:val="none" w:sz="0" w:space="0" w:color="auto"/>
        <w:bottom w:val="none" w:sz="0" w:space="0" w:color="auto"/>
        <w:right w:val="none" w:sz="0" w:space="0" w:color="auto"/>
      </w:divBdr>
    </w:div>
    <w:div w:id="30418167">
      <w:bodyDiv w:val="1"/>
      <w:marLeft w:val="0"/>
      <w:marRight w:val="0"/>
      <w:marTop w:val="0"/>
      <w:marBottom w:val="0"/>
      <w:divBdr>
        <w:top w:val="none" w:sz="0" w:space="0" w:color="auto"/>
        <w:left w:val="none" w:sz="0" w:space="0" w:color="auto"/>
        <w:bottom w:val="none" w:sz="0" w:space="0" w:color="auto"/>
        <w:right w:val="none" w:sz="0" w:space="0" w:color="auto"/>
      </w:divBdr>
    </w:div>
    <w:div w:id="720136677">
      <w:bodyDiv w:val="1"/>
      <w:marLeft w:val="0"/>
      <w:marRight w:val="0"/>
      <w:marTop w:val="0"/>
      <w:marBottom w:val="0"/>
      <w:divBdr>
        <w:top w:val="none" w:sz="0" w:space="0" w:color="auto"/>
        <w:left w:val="none" w:sz="0" w:space="0" w:color="auto"/>
        <w:bottom w:val="none" w:sz="0" w:space="0" w:color="auto"/>
        <w:right w:val="none" w:sz="0" w:space="0" w:color="auto"/>
      </w:divBdr>
    </w:div>
    <w:div w:id="811873381">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5995134">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617180684">
      <w:bodyDiv w:val="1"/>
      <w:marLeft w:val="0"/>
      <w:marRight w:val="0"/>
      <w:marTop w:val="0"/>
      <w:marBottom w:val="0"/>
      <w:divBdr>
        <w:top w:val="none" w:sz="0" w:space="0" w:color="auto"/>
        <w:left w:val="none" w:sz="0" w:space="0" w:color="auto"/>
        <w:bottom w:val="none" w:sz="0" w:space="0" w:color="auto"/>
        <w:right w:val="none" w:sz="0" w:space="0" w:color="auto"/>
      </w:divBdr>
      <w:divsChild>
        <w:div w:id="1052194105">
          <w:marLeft w:val="0"/>
          <w:marRight w:val="0"/>
          <w:marTop w:val="0"/>
          <w:marBottom w:val="0"/>
          <w:divBdr>
            <w:top w:val="none" w:sz="0" w:space="0" w:color="auto"/>
            <w:left w:val="none" w:sz="0" w:space="0" w:color="auto"/>
            <w:bottom w:val="none" w:sz="0" w:space="0" w:color="auto"/>
            <w:right w:val="none" w:sz="0" w:space="0" w:color="auto"/>
          </w:divBdr>
        </w:div>
      </w:divsChild>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 w:id="20579655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23B5D-023A-4C4E-BB41-69477E34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2722</TotalTime>
  <Pages>6</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9</cp:revision>
  <cp:lastPrinted>2018-12-19T19:54:00Z</cp:lastPrinted>
  <dcterms:created xsi:type="dcterms:W3CDTF">2018-11-25T16:59:00Z</dcterms:created>
  <dcterms:modified xsi:type="dcterms:W3CDTF">2018-12-19T19:54:00Z</dcterms:modified>
</cp:coreProperties>
</file>