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A91A" w14:textId="60279999" w:rsidR="004E03AA" w:rsidRPr="00BA02FE" w:rsidRDefault="002749A5" w:rsidP="001F0D1D">
      <w:pPr>
        <w:pStyle w:val="Heading2"/>
        <w:tabs>
          <w:tab w:val="left" w:pos="162"/>
          <w:tab w:val="left" w:pos="1710"/>
        </w:tabs>
        <w:spacing w:before="0" w:line="240" w:lineRule="auto"/>
        <w:jc w:val="center"/>
        <w:rPr>
          <w:rFonts w:asciiTheme="minorHAnsi" w:hAnsiTheme="minorHAnsi"/>
          <w:noProof/>
          <w:color w:val="FF0000"/>
          <w:sz w:val="44"/>
          <w:szCs w:val="44"/>
          <w:lang w:val="fr-CA"/>
        </w:rPr>
      </w:pPr>
      <w:r w:rsidRPr="00BA02FE">
        <w:rPr>
          <w:rFonts w:asciiTheme="minorHAnsi" w:hAnsiTheme="minorHAnsi"/>
          <w:noProof/>
          <w:color w:val="FF0000"/>
          <w:sz w:val="44"/>
          <w:szCs w:val="44"/>
          <w:lang w:val="fr-CA"/>
        </w:rPr>
        <w:t>Liste d’actifs canadiens T+</w:t>
      </w:r>
      <w:r w:rsidR="007A3A72">
        <w:rPr>
          <w:rFonts w:asciiTheme="minorHAnsi" w:hAnsiTheme="minorHAnsi"/>
          <w:noProof/>
          <w:color w:val="FF0000"/>
          <w:sz w:val="44"/>
          <w:szCs w:val="44"/>
          <w:lang w:val="fr-CA"/>
        </w:rPr>
        <w:t>1</w:t>
      </w:r>
      <w:r w:rsidR="007A3A72" w:rsidRPr="00BA02FE">
        <w:rPr>
          <w:rFonts w:asciiTheme="minorHAnsi" w:hAnsiTheme="minorHAnsi"/>
          <w:noProof/>
          <w:color w:val="FF0000"/>
          <w:sz w:val="44"/>
          <w:szCs w:val="44"/>
          <w:lang w:val="fr-CA"/>
        </w:rPr>
        <w:t xml:space="preserve"> </w:t>
      </w:r>
      <w:r w:rsidRPr="00BA02FE">
        <w:rPr>
          <w:rFonts w:asciiTheme="minorHAnsi" w:hAnsiTheme="minorHAnsi"/>
          <w:noProof/>
          <w:color w:val="FF0000"/>
          <w:sz w:val="44"/>
          <w:szCs w:val="44"/>
          <w:lang w:val="fr-CA"/>
        </w:rPr>
        <w:t>pour l’ACMC</w:t>
      </w:r>
    </w:p>
    <w:p w14:paraId="3B861478" w14:textId="78A8A4F5" w:rsidR="001715B4" w:rsidRPr="00BA02FE" w:rsidRDefault="004E03AA" w:rsidP="001F0D1D">
      <w:pPr>
        <w:pStyle w:val="Heading2"/>
        <w:tabs>
          <w:tab w:val="left" w:pos="162"/>
          <w:tab w:val="left" w:pos="1710"/>
        </w:tabs>
        <w:spacing w:before="0" w:line="240" w:lineRule="auto"/>
        <w:jc w:val="center"/>
        <w:rPr>
          <w:rFonts w:asciiTheme="minorHAnsi" w:hAnsiTheme="minorHAnsi"/>
          <w:noProof/>
          <w:color w:val="FF0000"/>
          <w:sz w:val="44"/>
          <w:szCs w:val="44"/>
          <w:lang w:val="fr-CA"/>
        </w:rPr>
      </w:pPr>
      <w:r w:rsidRPr="00BA02FE">
        <w:rPr>
          <w:rFonts w:asciiTheme="minorHAnsi" w:hAnsiTheme="minorHAnsi"/>
          <w:noProof/>
          <w:color w:val="FF0000"/>
          <w:sz w:val="24"/>
          <w:szCs w:val="24"/>
          <w:lang w:val="fr-CA"/>
        </w:rPr>
        <w:t>(</w:t>
      </w:r>
      <w:r w:rsidR="002749A5" w:rsidRPr="00BA02FE">
        <w:rPr>
          <w:rFonts w:asciiTheme="minorHAnsi" w:hAnsiTheme="minorHAnsi"/>
          <w:noProof/>
          <w:color w:val="FF0000"/>
          <w:sz w:val="24"/>
          <w:szCs w:val="24"/>
          <w:lang w:val="fr-CA"/>
        </w:rPr>
        <w:t xml:space="preserve">au </w:t>
      </w:r>
      <w:r w:rsidR="00BA02FE" w:rsidRPr="00BA02FE">
        <w:rPr>
          <w:rFonts w:asciiTheme="minorHAnsi" w:hAnsiTheme="minorHAnsi"/>
          <w:noProof/>
          <w:color w:val="FF0000"/>
          <w:sz w:val="24"/>
          <w:szCs w:val="24"/>
          <w:lang w:val="fr-CA"/>
        </w:rPr>
        <w:t>2</w:t>
      </w:r>
      <w:r w:rsidR="003B2A44">
        <w:rPr>
          <w:rFonts w:asciiTheme="minorHAnsi" w:hAnsiTheme="minorHAnsi"/>
          <w:noProof/>
          <w:color w:val="FF0000"/>
          <w:sz w:val="24"/>
          <w:szCs w:val="24"/>
          <w:lang w:val="fr-CA"/>
        </w:rPr>
        <w:t>9</w:t>
      </w:r>
      <w:r w:rsidR="00BA02FE" w:rsidRPr="00BA02FE">
        <w:rPr>
          <w:rFonts w:asciiTheme="minorHAnsi" w:hAnsiTheme="minorHAnsi"/>
          <w:noProof/>
          <w:color w:val="FF0000"/>
          <w:sz w:val="24"/>
          <w:szCs w:val="24"/>
          <w:lang w:val="fr-CA"/>
        </w:rPr>
        <w:t xml:space="preserve"> juillet</w:t>
      </w:r>
      <w:r w:rsidRPr="00BA02FE">
        <w:rPr>
          <w:rFonts w:asciiTheme="minorHAnsi" w:hAnsiTheme="minorHAnsi"/>
          <w:noProof/>
          <w:color w:val="FF0000"/>
          <w:sz w:val="24"/>
          <w:szCs w:val="24"/>
          <w:lang w:val="fr-CA"/>
        </w:rPr>
        <w:t xml:space="preserve"> 2022)</w:t>
      </w:r>
    </w:p>
    <w:p w14:paraId="419169C7" w14:textId="77777777" w:rsidR="007E27EB" w:rsidRPr="00BA02FE" w:rsidRDefault="007E27EB" w:rsidP="001F0D1D">
      <w:pPr>
        <w:pStyle w:val="Heading2"/>
        <w:tabs>
          <w:tab w:val="left" w:pos="162"/>
          <w:tab w:val="left" w:pos="720"/>
          <w:tab w:val="left" w:pos="1710"/>
        </w:tabs>
        <w:spacing w:before="120" w:line="240" w:lineRule="auto"/>
        <w:jc w:val="both"/>
        <w:rPr>
          <w:rFonts w:asciiTheme="minorHAnsi" w:hAnsiTheme="minorHAnsi"/>
          <w:noProof/>
          <w:color w:val="auto"/>
          <w:szCs w:val="28"/>
          <w:lang w:val="fr-CA"/>
        </w:rPr>
      </w:pPr>
    </w:p>
    <w:p w14:paraId="292149DF" w14:textId="345A4893" w:rsidR="006828B4" w:rsidRPr="003B2A44" w:rsidRDefault="006828B4" w:rsidP="006828B4">
      <w:pPr>
        <w:spacing w:line="240" w:lineRule="auto"/>
        <w:ind w:left="720" w:right="720"/>
        <w:jc w:val="both"/>
        <w:rPr>
          <w:rFonts w:asciiTheme="minorHAnsi" w:hAnsiTheme="minorHAnsi"/>
          <w:noProof/>
          <w:sz w:val="22"/>
          <w:lang w:val="fr-CA"/>
        </w:rPr>
      </w:pPr>
      <w:bookmarkStart w:id="0" w:name="_Hlk102734399"/>
      <w:r w:rsidRPr="003B2A44">
        <w:rPr>
          <w:rFonts w:asciiTheme="minorHAnsi" w:hAnsiTheme="minorHAnsi"/>
          <w:noProof/>
          <w:sz w:val="22"/>
          <w:lang w:val="fr-CA"/>
        </w:rPr>
        <w:t>La liste des actifs</w:t>
      </w:r>
      <w:r w:rsidR="00C32502">
        <w:rPr>
          <w:rFonts w:asciiTheme="minorHAnsi" w:hAnsiTheme="minorHAnsi"/>
          <w:noProof/>
          <w:sz w:val="22"/>
          <w:lang w:val="fr-CA"/>
        </w:rPr>
        <w:t> </w:t>
      </w:r>
      <w:r w:rsidRPr="003B2A44">
        <w:rPr>
          <w:rFonts w:asciiTheme="minorHAnsi" w:hAnsiTheme="minorHAnsi"/>
          <w:noProof/>
          <w:sz w:val="22"/>
          <w:lang w:val="fr-CA"/>
        </w:rPr>
        <w:t>T+1 recense les placements négociés sur les marchés secondaires qui doivent passer d</w:t>
      </w:r>
      <w:r w:rsidR="00C32502">
        <w:rPr>
          <w:rFonts w:asciiTheme="minorHAnsi" w:hAnsiTheme="minorHAnsi"/>
          <w:noProof/>
          <w:sz w:val="22"/>
          <w:lang w:val="fr-CA"/>
        </w:rPr>
        <w:t>’</w:t>
      </w:r>
      <w:r w:rsidRPr="003B2A44">
        <w:rPr>
          <w:rFonts w:asciiTheme="minorHAnsi" w:hAnsiTheme="minorHAnsi"/>
          <w:noProof/>
          <w:sz w:val="22"/>
          <w:lang w:val="fr-CA"/>
        </w:rPr>
        <w:t>un cycle de règlement standard</w:t>
      </w:r>
      <w:r w:rsidR="00C32502">
        <w:rPr>
          <w:rFonts w:asciiTheme="minorHAnsi" w:hAnsiTheme="minorHAnsi"/>
          <w:noProof/>
          <w:sz w:val="22"/>
          <w:lang w:val="fr-CA"/>
        </w:rPr>
        <w:t> </w:t>
      </w:r>
      <w:r w:rsidRPr="003B2A44">
        <w:rPr>
          <w:rFonts w:asciiTheme="minorHAnsi" w:hAnsiTheme="minorHAnsi"/>
          <w:noProof/>
          <w:sz w:val="22"/>
          <w:lang w:val="fr-CA"/>
        </w:rPr>
        <w:t>T+2 à un cycle standard</w:t>
      </w:r>
      <w:r w:rsidR="00C32502">
        <w:rPr>
          <w:rFonts w:asciiTheme="minorHAnsi" w:hAnsiTheme="minorHAnsi"/>
          <w:noProof/>
          <w:sz w:val="22"/>
          <w:lang w:val="fr-CA"/>
        </w:rPr>
        <w:t> </w:t>
      </w:r>
      <w:r w:rsidRPr="003B2A44">
        <w:rPr>
          <w:rFonts w:asciiTheme="minorHAnsi" w:hAnsiTheme="minorHAnsi"/>
          <w:noProof/>
          <w:sz w:val="22"/>
          <w:lang w:val="fr-CA"/>
        </w:rPr>
        <w:t xml:space="preserve">T+1. Cette liste exclut les transactions de </w:t>
      </w:r>
      <w:r w:rsidR="00C32502">
        <w:rPr>
          <w:rFonts w:asciiTheme="minorHAnsi" w:hAnsiTheme="minorHAnsi"/>
          <w:noProof/>
          <w:sz w:val="22"/>
          <w:lang w:val="fr-CA"/>
        </w:rPr>
        <w:t>« </w:t>
      </w:r>
      <w:r w:rsidRPr="003B2A44">
        <w:rPr>
          <w:rFonts w:asciiTheme="minorHAnsi" w:hAnsiTheme="minorHAnsi"/>
          <w:noProof/>
          <w:sz w:val="22"/>
          <w:lang w:val="fr-CA"/>
        </w:rPr>
        <w:t>nouvelles émissions</w:t>
      </w:r>
      <w:r w:rsidR="00C32502">
        <w:rPr>
          <w:rFonts w:asciiTheme="minorHAnsi" w:hAnsiTheme="minorHAnsi"/>
          <w:noProof/>
          <w:sz w:val="22"/>
          <w:lang w:val="fr-CA"/>
        </w:rPr>
        <w:t> »</w:t>
      </w:r>
      <w:r w:rsidRPr="003B2A44">
        <w:rPr>
          <w:rFonts w:asciiTheme="minorHAnsi" w:hAnsiTheme="minorHAnsi"/>
          <w:noProof/>
          <w:sz w:val="22"/>
          <w:lang w:val="fr-CA"/>
        </w:rPr>
        <w:t xml:space="preserve"> (comme les premiers appels publics à l</w:t>
      </w:r>
      <w:r w:rsidR="00C32502">
        <w:rPr>
          <w:rFonts w:asciiTheme="minorHAnsi" w:hAnsiTheme="minorHAnsi"/>
          <w:noProof/>
          <w:sz w:val="22"/>
          <w:lang w:val="fr-CA"/>
        </w:rPr>
        <w:t>’</w:t>
      </w:r>
      <w:r w:rsidRPr="003B2A44">
        <w:rPr>
          <w:rFonts w:asciiTheme="minorHAnsi" w:hAnsiTheme="minorHAnsi"/>
          <w:noProof/>
          <w:sz w:val="22"/>
          <w:lang w:val="fr-CA"/>
        </w:rPr>
        <w:t xml:space="preserve">épargne ou PAPE), le processus de création/de rachat des FNB, les transactions actuelles à </w:t>
      </w:r>
      <w:r w:rsidR="00C32502">
        <w:rPr>
          <w:rFonts w:asciiTheme="minorHAnsi" w:hAnsiTheme="minorHAnsi"/>
          <w:noProof/>
          <w:sz w:val="22"/>
          <w:lang w:val="fr-CA"/>
        </w:rPr>
        <w:t>« </w:t>
      </w:r>
      <w:r w:rsidRPr="003B2A44">
        <w:rPr>
          <w:rFonts w:asciiTheme="minorHAnsi" w:hAnsiTheme="minorHAnsi"/>
          <w:noProof/>
          <w:sz w:val="22"/>
          <w:lang w:val="fr-CA"/>
        </w:rPr>
        <w:t>conditions particulières</w:t>
      </w:r>
      <w:r w:rsidR="00C32502">
        <w:rPr>
          <w:rFonts w:asciiTheme="minorHAnsi" w:hAnsiTheme="minorHAnsi"/>
          <w:noProof/>
          <w:sz w:val="22"/>
          <w:lang w:val="fr-CA"/>
        </w:rPr>
        <w:t> »</w:t>
      </w:r>
      <w:r w:rsidRPr="003B2A44">
        <w:rPr>
          <w:rFonts w:asciiTheme="minorHAnsi" w:hAnsiTheme="minorHAnsi"/>
          <w:noProof/>
          <w:sz w:val="22"/>
          <w:lang w:val="fr-CA"/>
        </w:rPr>
        <w:t xml:space="preserve"> et les produits dont le cycle de règlement est </w:t>
      </w:r>
      <w:r w:rsidR="00975DD7">
        <w:rPr>
          <w:rFonts w:asciiTheme="minorHAnsi" w:hAnsiTheme="minorHAnsi"/>
          <w:noProof/>
          <w:sz w:val="22"/>
          <w:lang w:val="fr-CA"/>
        </w:rPr>
        <w:t>établi</w:t>
      </w:r>
      <w:r w:rsidRPr="003B2A44">
        <w:rPr>
          <w:rFonts w:asciiTheme="minorHAnsi" w:hAnsiTheme="minorHAnsi"/>
          <w:noProof/>
          <w:sz w:val="22"/>
          <w:lang w:val="fr-CA"/>
        </w:rPr>
        <w:t xml:space="preserve"> </w:t>
      </w:r>
      <w:r w:rsidR="00975DD7">
        <w:rPr>
          <w:rFonts w:asciiTheme="minorHAnsi" w:hAnsiTheme="minorHAnsi"/>
          <w:noProof/>
          <w:sz w:val="22"/>
          <w:lang w:val="fr-CA"/>
        </w:rPr>
        <w:t>par</w:t>
      </w:r>
      <w:r w:rsidRPr="003B2A44">
        <w:rPr>
          <w:rFonts w:asciiTheme="minorHAnsi" w:hAnsiTheme="minorHAnsi"/>
          <w:noProof/>
          <w:sz w:val="22"/>
          <w:lang w:val="fr-CA"/>
        </w:rPr>
        <w:t xml:space="preserve"> prospectus, notamment les produits dont le cours n</w:t>
      </w:r>
      <w:r w:rsidR="00C32502">
        <w:rPr>
          <w:rFonts w:asciiTheme="minorHAnsi" w:hAnsiTheme="minorHAnsi"/>
          <w:noProof/>
          <w:sz w:val="22"/>
          <w:lang w:val="fr-CA"/>
        </w:rPr>
        <w:t>’</w:t>
      </w:r>
      <w:r w:rsidRPr="003B2A44">
        <w:rPr>
          <w:rFonts w:asciiTheme="minorHAnsi" w:hAnsiTheme="minorHAnsi"/>
          <w:noProof/>
          <w:sz w:val="22"/>
          <w:lang w:val="fr-CA"/>
        </w:rPr>
        <w:t xml:space="preserve">est pas </w:t>
      </w:r>
      <w:r w:rsidR="00975DD7">
        <w:rPr>
          <w:rFonts w:asciiTheme="minorHAnsi" w:hAnsiTheme="minorHAnsi"/>
          <w:noProof/>
          <w:sz w:val="22"/>
          <w:lang w:val="fr-CA"/>
        </w:rPr>
        <w:t>fixé</w:t>
      </w:r>
      <w:r w:rsidRPr="003B2A44">
        <w:rPr>
          <w:rFonts w:asciiTheme="minorHAnsi" w:hAnsiTheme="minorHAnsi"/>
          <w:noProof/>
          <w:sz w:val="22"/>
          <w:lang w:val="fr-CA"/>
        </w:rPr>
        <w:t xml:space="preserve"> quotidiennement.</w:t>
      </w:r>
    </w:p>
    <w:p w14:paraId="7D1BB817" w14:textId="77777777" w:rsidR="006828B4" w:rsidRPr="003B2A44" w:rsidRDefault="006828B4" w:rsidP="006828B4">
      <w:pPr>
        <w:spacing w:line="240" w:lineRule="auto"/>
        <w:ind w:left="720" w:right="720"/>
        <w:jc w:val="both"/>
        <w:rPr>
          <w:rFonts w:asciiTheme="minorHAnsi" w:hAnsiTheme="minorHAnsi"/>
          <w:noProof/>
          <w:sz w:val="22"/>
          <w:lang w:val="fr-CA"/>
        </w:rPr>
      </w:pPr>
    </w:p>
    <w:bookmarkEnd w:id="0"/>
    <w:p w14:paraId="580CDE0F" w14:textId="45568077" w:rsidR="00DA30B1" w:rsidRPr="00BA02FE" w:rsidRDefault="00C33D6E" w:rsidP="00E87BAD">
      <w:pPr>
        <w:spacing w:line="240" w:lineRule="auto"/>
        <w:ind w:left="720" w:right="720"/>
        <w:jc w:val="both"/>
        <w:rPr>
          <w:noProof/>
          <w:sz w:val="24"/>
          <w:szCs w:val="24"/>
          <w:lang w:val="fr-CA"/>
        </w:rPr>
      </w:pPr>
      <w:r w:rsidRPr="00BA02FE">
        <w:rPr>
          <w:rFonts w:asciiTheme="minorHAnsi" w:hAnsiTheme="minorHAnsi"/>
          <w:noProof/>
          <w:sz w:val="24"/>
          <w:szCs w:val="24"/>
          <w:lang w:val="fr-CA"/>
        </w:rPr>
        <w:t>Cette</w:t>
      </w:r>
      <w:r w:rsidR="00A138DE" w:rsidRPr="00BA02FE">
        <w:rPr>
          <w:rFonts w:asciiTheme="minorHAnsi" w:hAnsiTheme="minorHAnsi"/>
          <w:noProof/>
          <w:sz w:val="24"/>
          <w:szCs w:val="24"/>
          <w:lang w:val="fr-CA"/>
        </w:rPr>
        <w:t xml:space="preserve"> liste des produits d</w:t>
      </w:r>
      <w:r w:rsidR="00F47693" w:rsidRPr="00BA02FE">
        <w:rPr>
          <w:rFonts w:asciiTheme="minorHAnsi" w:hAnsiTheme="minorHAnsi"/>
          <w:noProof/>
          <w:sz w:val="24"/>
          <w:szCs w:val="24"/>
          <w:lang w:val="fr-CA"/>
        </w:rPr>
        <w:t>’</w:t>
      </w:r>
      <w:r w:rsidR="00A138DE" w:rsidRPr="00BA02FE">
        <w:rPr>
          <w:rFonts w:asciiTheme="minorHAnsi" w:hAnsiTheme="minorHAnsi"/>
          <w:noProof/>
          <w:sz w:val="24"/>
          <w:szCs w:val="24"/>
          <w:lang w:val="fr-CA"/>
        </w:rPr>
        <w:t>investissement qui, selon les membres de l</w:t>
      </w:r>
      <w:r w:rsidR="00F47693" w:rsidRPr="00BA02FE">
        <w:rPr>
          <w:rFonts w:asciiTheme="minorHAnsi" w:hAnsiTheme="minorHAnsi"/>
          <w:noProof/>
          <w:sz w:val="24"/>
          <w:szCs w:val="24"/>
          <w:lang w:val="fr-CA"/>
        </w:rPr>
        <w:t>’</w:t>
      </w:r>
      <w:r w:rsidR="00A138DE" w:rsidRPr="00BA02FE">
        <w:rPr>
          <w:rFonts w:asciiTheme="minorHAnsi" w:hAnsiTheme="minorHAnsi"/>
          <w:noProof/>
          <w:sz w:val="24"/>
          <w:szCs w:val="24"/>
          <w:lang w:val="fr-CA"/>
        </w:rPr>
        <w:t xml:space="preserve">ACMC, vont adopter un cycle de règlement </w:t>
      </w:r>
      <w:r w:rsidR="00A138DE" w:rsidRPr="003B2A44">
        <w:rPr>
          <w:rFonts w:asciiTheme="minorHAnsi" w:hAnsiTheme="minorHAnsi"/>
          <w:b/>
          <w:bCs/>
          <w:noProof/>
          <w:sz w:val="24"/>
          <w:szCs w:val="24"/>
          <w:lang w:val="fr-CA"/>
        </w:rPr>
        <w:t>standard</w:t>
      </w:r>
      <w:r w:rsidR="00A138DE" w:rsidRPr="00BA02FE">
        <w:rPr>
          <w:rFonts w:asciiTheme="minorHAnsi" w:hAnsiTheme="minorHAnsi"/>
          <w:noProof/>
          <w:sz w:val="24"/>
          <w:szCs w:val="24"/>
          <w:lang w:val="fr-CA"/>
        </w:rPr>
        <w:t xml:space="preserve"> plus court de T+1 en 2024</w:t>
      </w:r>
      <w:r w:rsidR="00794CDC" w:rsidRPr="00BA02FE">
        <w:rPr>
          <w:noProof/>
          <w:sz w:val="24"/>
          <w:szCs w:val="24"/>
          <w:lang w:val="fr-CA"/>
        </w:rPr>
        <w:t xml:space="preserve"> a été soumise à trois demandes d</w:t>
      </w:r>
      <w:r w:rsidR="00C32502">
        <w:rPr>
          <w:noProof/>
          <w:sz w:val="24"/>
          <w:szCs w:val="24"/>
          <w:lang w:val="fr-CA"/>
        </w:rPr>
        <w:t>’</w:t>
      </w:r>
      <w:r w:rsidR="00794CDC" w:rsidRPr="00BA02FE">
        <w:rPr>
          <w:noProof/>
          <w:sz w:val="24"/>
          <w:szCs w:val="24"/>
          <w:lang w:val="fr-CA"/>
        </w:rPr>
        <w:t>examen et, avec l</w:t>
      </w:r>
      <w:r w:rsidR="00C32502">
        <w:rPr>
          <w:noProof/>
          <w:sz w:val="24"/>
          <w:szCs w:val="24"/>
          <w:lang w:val="fr-CA"/>
        </w:rPr>
        <w:t>’</w:t>
      </w:r>
      <w:r w:rsidR="00794CDC" w:rsidRPr="00BA02FE">
        <w:rPr>
          <w:noProof/>
          <w:sz w:val="24"/>
          <w:szCs w:val="24"/>
          <w:lang w:val="fr-CA"/>
        </w:rPr>
        <w:t>approbation du Comité directeur</w:t>
      </w:r>
      <w:r w:rsidR="00C32502">
        <w:rPr>
          <w:noProof/>
          <w:sz w:val="24"/>
          <w:szCs w:val="24"/>
          <w:lang w:val="fr-CA"/>
        </w:rPr>
        <w:t> </w:t>
      </w:r>
      <w:r w:rsidR="00794CDC" w:rsidRPr="00BA02FE">
        <w:rPr>
          <w:noProof/>
          <w:sz w:val="24"/>
          <w:szCs w:val="24"/>
          <w:lang w:val="fr-CA"/>
        </w:rPr>
        <w:t>T+1 de l</w:t>
      </w:r>
      <w:r w:rsidR="00C32502">
        <w:rPr>
          <w:noProof/>
          <w:sz w:val="24"/>
          <w:szCs w:val="24"/>
          <w:lang w:val="fr-CA"/>
        </w:rPr>
        <w:t>’</w:t>
      </w:r>
      <w:r w:rsidR="00794CDC" w:rsidRPr="00BA02FE">
        <w:rPr>
          <w:noProof/>
          <w:sz w:val="24"/>
          <w:szCs w:val="24"/>
          <w:lang w:val="fr-CA"/>
        </w:rPr>
        <w:t>ACMC, elle a aussi été rendue publique</w:t>
      </w:r>
      <w:r w:rsidR="00975DD7">
        <w:rPr>
          <w:noProof/>
          <w:sz w:val="24"/>
          <w:szCs w:val="24"/>
          <w:lang w:val="fr-CA"/>
        </w:rPr>
        <w:t xml:space="preserve"> aux fins de sollicitation de commentaires</w:t>
      </w:r>
      <w:r w:rsidR="00794CDC" w:rsidRPr="00BA02FE">
        <w:rPr>
          <w:noProof/>
          <w:sz w:val="24"/>
          <w:szCs w:val="24"/>
          <w:lang w:val="fr-CA"/>
        </w:rPr>
        <w:t>. La liste reprend les commentaires reçus (voir les remarques en dernière page).</w:t>
      </w:r>
    </w:p>
    <w:p w14:paraId="3B815651" w14:textId="4C3A50D6" w:rsidR="00794CDC" w:rsidRPr="00BA02FE" w:rsidRDefault="00794CDC" w:rsidP="00E87BAD">
      <w:pPr>
        <w:spacing w:line="240" w:lineRule="auto"/>
        <w:ind w:left="720" w:right="720"/>
        <w:jc w:val="both"/>
        <w:rPr>
          <w:noProof/>
          <w:sz w:val="24"/>
          <w:szCs w:val="24"/>
          <w:lang w:val="fr-CA"/>
        </w:rPr>
      </w:pPr>
    </w:p>
    <w:p w14:paraId="743C071E" w14:textId="14AFFAF9" w:rsidR="00794CDC" w:rsidRPr="003B2A44" w:rsidRDefault="00794CDC" w:rsidP="00E87BAD">
      <w:pPr>
        <w:spacing w:line="240" w:lineRule="auto"/>
        <w:ind w:left="720" w:right="720"/>
        <w:jc w:val="both"/>
        <w:rPr>
          <w:b/>
          <w:bCs/>
          <w:noProof/>
          <w:sz w:val="24"/>
          <w:szCs w:val="24"/>
          <w:lang w:val="fr-CA"/>
        </w:rPr>
      </w:pPr>
      <w:r w:rsidRPr="00BA02FE">
        <w:rPr>
          <w:noProof/>
          <w:sz w:val="24"/>
          <w:szCs w:val="24"/>
          <w:lang w:val="fr-CA"/>
        </w:rPr>
        <w:t>Dans le cadre du projet</w:t>
      </w:r>
      <w:r w:rsidR="00C32502">
        <w:rPr>
          <w:noProof/>
          <w:sz w:val="24"/>
          <w:szCs w:val="24"/>
          <w:lang w:val="fr-CA"/>
        </w:rPr>
        <w:t> </w:t>
      </w:r>
      <w:r w:rsidRPr="00BA02FE">
        <w:rPr>
          <w:noProof/>
          <w:sz w:val="24"/>
          <w:szCs w:val="24"/>
          <w:lang w:val="fr-CA"/>
        </w:rPr>
        <w:t xml:space="preserve">T+2, la première version </w:t>
      </w:r>
      <w:r w:rsidR="00C32502">
        <w:rPr>
          <w:noProof/>
          <w:sz w:val="24"/>
          <w:szCs w:val="24"/>
          <w:lang w:val="fr-CA"/>
        </w:rPr>
        <w:t>« </w:t>
      </w:r>
      <w:r w:rsidRPr="00BA02FE">
        <w:rPr>
          <w:noProof/>
          <w:sz w:val="24"/>
          <w:szCs w:val="24"/>
          <w:lang w:val="fr-CA"/>
        </w:rPr>
        <w:t>finale</w:t>
      </w:r>
      <w:r w:rsidR="00C32502">
        <w:rPr>
          <w:noProof/>
          <w:sz w:val="24"/>
          <w:szCs w:val="24"/>
          <w:lang w:val="fr-CA"/>
        </w:rPr>
        <w:t> »</w:t>
      </w:r>
      <w:r w:rsidRPr="00BA02FE">
        <w:rPr>
          <w:noProof/>
          <w:sz w:val="24"/>
          <w:szCs w:val="24"/>
          <w:lang w:val="fr-CA"/>
        </w:rPr>
        <w:t xml:space="preserve"> de la liste a fait l</w:t>
      </w:r>
      <w:r w:rsidR="00C32502">
        <w:rPr>
          <w:noProof/>
          <w:sz w:val="24"/>
          <w:szCs w:val="24"/>
          <w:lang w:val="fr-CA"/>
        </w:rPr>
        <w:t>’</w:t>
      </w:r>
      <w:r w:rsidRPr="00BA02FE">
        <w:rPr>
          <w:noProof/>
          <w:sz w:val="24"/>
          <w:szCs w:val="24"/>
          <w:lang w:val="fr-CA"/>
        </w:rPr>
        <w:t xml:space="preserve">objet de deux mises à jour à mesure que des informations nouvelles sont apparues, mais les modifications sont restées minimes. </w:t>
      </w:r>
      <w:r w:rsidR="001A6A82" w:rsidRPr="003B2A44">
        <w:rPr>
          <w:b/>
          <w:bCs/>
          <w:noProof/>
          <w:sz w:val="24"/>
          <w:szCs w:val="24"/>
          <w:lang w:val="fr-CA"/>
        </w:rPr>
        <w:t xml:space="preserve">À </w:t>
      </w:r>
      <w:r w:rsidRPr="003B2A44">
        <w:rPr>
          <w:b/>
          <w:bCs/>
          <w:noProof/>
          <w:sz w:val="24"/>
          <w:szCs w:val="24"/>
          <w:lang w:val="fr-CA"/>
        </w:rPr>
        <w:t>ce jour, les seules catégories de titres où une décision sur le passage à T+1 n</w:t>
      </w:r>
      <w:r w:rsidR="00C32502">
        <w:rPr>
          <w:b/>
          <w:bCs/>
          <w:noProof/>
          <w:sz w:val="24"/>
          <w:szCs w:val="24"/>
          <w:lang w:val="fr-CA"/>
        </w:rPr>
        <w:t>’</w:t>
      </w:r>
      <w:r w:rsidRPr="003B2A44">
        <w:rPr>
          <w:b/>
          <w:bCs/>
          <w:noProof/>
          <w:sz w:val="24"/>
          <w:szCs w:val="24"/>
          <w:lang w:val="fr-CA"/>
        </w:rPr>
        <w:t>a pas été arrêtée sont les fonds communs de placement et les fonds distincts, et la liste sera mise à jour sitôt qu</w:t>
      </w:r>
      <w:r w:rsidR="00C32502">
        <w:rPr>
          <w:b/>
          <w:bCs/>
          <w:noProof/>
          <w:sz w:val="24"/>
          <w:szCs w:val="24"/>
          <w:lang w:val="fr-CA"/>
        </w:rPr>
        <w:t>’</w:t>
      </w:r>
      <w:r w:rsidRPr="003B2A44">
        <w:rPr>
          <w:b/>
          <w:bCs/>
          <w:noProof/>
          <w:sz w:val="24"/>
          <w:szCs w:val="24"/>
          <w:lang w:val="fr-CA"/>
        </w:rPr>
        <w:t xml:space="preserve">une conclusion se concrétisera. Si de nouveaux produits sont introduits, ou si une incertitude subsiste quant à un produit spécifique, veuillez </w:t>
      </w:r>
      <w:r w:rsidR="001A6A82" w:rsidRPr="003B2A44">
        <w:rPr>
          <w:b/>
          <w:bCs/>
          <w:noProof/>
          <w:sz w:val="24"/>
          <w:szCs w:val="24"/>
          <w:lang w:val="fr-CA"/>
        </w:rPr>
        <w:t>adresser</w:t>
      </w:r>
      <w:r w:rsidRPr="003B2A44">
        <w:rPr>
          <w:b/>
          <w:bCs/>
          <w:noProof/>
          <w:sz w:val="24"/>
          <w:szCs w:val="24"/>
          <w:lang w:val="fr-CA"/>
        </w:rPr>
        <w:t xml:space="preserve"> vos questions ou commentaires à info@ccma-acmc.ca.</w:t>
      </w:r>
    </w:p>
    <w:p w14:paraId="3BEC4825" w14:textId="77777777" w:rsidR="00A138DE" w:rsidRPr="00BA02FE" w:rsidRDefault="00A138DE" w:rsidP="00E87BAD">
      <w:pPr>
        <w:spacing w:line="240" w:lineRule="auto"/>
        <w:ind w:left="720" w:right="720"/>
        <w:jc w:val="both"/>
        <w:rPr>
          <w:noProof/>
          <w:sz w:val="24"/>
          <w:szCs w:val="24"/>
          <w:lang w:val="fr-CA"/>
        </w:rPr>
      </w:pPr>
    </w:p>
    <w:p w14:paraId="5CC80C65" w14:textId="6CC4C355" w:rsidR="005F683F" w:rsidRPr="00BA02FE" w:rsidRDefault="003C51B8" w:rsidP="00E87BAD">
      <w:pPr>
        <w:spacing w:line="240" w:lineRule="auto"/>
        <w:ind w:left="720" w:right="720"/>
        <w:jc w:val="both"/>
        <w:rPr>
          <w:rFonts w:asciiTheme="minorHAnsi" w:hAnsiTheme="minorHAnsi"/>
          <w:noProof/>
          <w:sz w:val="24"/>
          <w:szCs w:val="24"/>
          <w:lang w:val="fr-CA"/>
        </w:rPr>
      </w:pPr>
      <w:r w:rsidRPr="003B2A44">
        <w:rPr>
          <w:rFonts w:asciiTheme="minorHAnsi" w:hAnsiTheme="minorHAnsi"/>
          <w:b/>
          <w:bCs/>
          <w:noProof/>
          <w:sz w:val="24"/>
          <w:szCs w:val="24"/>
          <w:lang w:val="fr-CA"/>
        </w:rPr>
        <w:t>Remarque</w:t>
      </w:r>
      <w:r w:rsidRPr="00BA02FE">
        <w:rPr>
          <w:rFonts w:asciiTheme="minorHAnsi" w:hAnsiTheme="minorHAnsi"/>
          <w:noProof/>
          <w:sz w:val="24"/>
          <w:szCs w:val="24"/>
          <w:lang w:val="fr-CA"/>
        </w:rPr>
        <w:t xml:space="preserve"> : </w:t>
      </w:r>
      <w:r w:rsidR="005F683F" w:rsidRPr="00BA02FE">
        <w:rPr>
          <w:rFonts w:asciiTheme="minorHAnsi" w:hAnsiTheme="minorHAnsi"/>
          <w:noProof/>
          <w:sz w:val="24"/>
          <w:szCs w:val="24"/>
          <w:lang w:val="fr-CA"/>
        </w:rPr>
        <w:t xml:space="preserve">À des fins de simplification, les titres vendus/rachetés (contrairement aux titres négociés) </w:t>
      </w:r>
      <w:r w:rsidR="003D29D6" w:rsidRPr="00BA02FE">
        <w:rPr>
          <w:rFonts w:asciiTheme="minorHAnsi" w:hAnsiTheme="minorHAnsi"/>
          <w:noProof/>
          <w:sz w:val="24"/>
          <w:szCs w:val="24"/>
          <w:lang w:val="fr-CA"/>
        </w:rPr>
        <w:t>—</w:t>
      </w:r>
      <w:r w:rsidR="005F683F" w:rsidRPr="00BA02FE">
        <w:rPr>
          <w:rFonts w:asciiTheme="minorHAnsi" w:hAnsiTheme="minorHAnsi"/>
          <w:noProof/>
          <w:sz w:val="24"/>
          <w:szCs w:val="24"/>
          <w:lang w:val="fr-CA"/>
        </w:rPr>
        <w:t xml:space="preserve"> comme les fonds </w:t>
      </w:r>
      <w:r w:rsidR="001F0D1D" w:rsidRPr="00BA02FE">
        <w:rPr>
          <w:rFonts w:asciiTheme="minorHAnsi" w:hAnsiTheme="minorHAnsi"/>
          <w:noProof/>
          <w:sz w:val="24"/>
          <w:szCs w:val="24"/>
          <w:lang w:val="fr-CA"/>
        </w:rPr>
        <w:t>de placement</w:t>
      </w:r>
      <w:r w:rsidR="005F683F" w:rsidRPr="00BA02FE">
        <w:rPr>
          <w:rFonts w:asciiTheme="minorHAnsi" w:hAnsiTheme="minorHAnsi"/>
          <w:noProof/>
          <w:sz w:val="24"/>
          <w:szCs w:val="24"/>
          <w:lang w:val="fr-CA"/>
        </w:rPr>
        <w:t xml:space="preserve"> au sens large, dont le règlement s</w:t>
      </w:r>
      <w:r w:rsidR="003D29D6" w:rsidRPr="00BA02FE">
        <w:rPr>
          <w:rFonts w:asciiTheme="minorHAnsi" w:hAnsiTheme="minorHAnsi"/>
          <w:noProof/>
          <w:sz w:val="24"/>
          <w:szCs w:val="24"/>
          <w:lang w:val="fr-CA"/>
        </w:rPr>
        <w:t>’</w:t>
      </w:r>
      <w:r w:rsidR="005F683F" w:rsidRPr="00BA02FE">
        <w:rPr>
          <w:rFonts w:asciiTheme="minorHAnsi" w:hAnsiTheme="minorHAnsi"/>
          <w:noProof/>
          <w:sz w:val="24"/>
          <w:szCs w:val="24"/>
          <w:lang w:val="fr-CA"/>
        </w:rPr>
        <w:t>effectue le plus souvent par l</w:t>
      </w:r>
      <w:r w:rsidR="003D29D6" w:rsidRPr="00BA02FE">
        <w:rPr>
          <w:rFonts w:asciiTheme="minorHAnsi" w:hAnsiTheme="minorHAnsi"/>
          <w:noProof/>
          <w:sz w:val="24"/>
          <w:szCs w:val="24"/>
          <w:lang w:val="fr-CA"/>
        </w:rPr>
        <w:t>’</w:t>
      </w:r>
      <w:r w:rsidR="005F683F" w:rsidRPr="00BA02FE">
        <w:rPr>
          <w:rFonts w:asciiTheme="minorHAnsi" w:hAnsiTheme="minorHAnsi"/>
          <w:noProof/>
          <w:sz w:val="24"/>
          <w:szCs w:val="24"/>
          <w:lang w:val="fr-CA"/>
        </w:rPr>
        <w:t xml:space="preserve">intermédiaire de Fundserv </w:t>
      </w:r>
      <w:r w:rsidR="003D29D6" w:rsidRPr="00BA02FE">
        <w:rPr>
          <w:rFonts w:asciiTheme="minorHAnsi" w:hAnsiTheme="minorHAnsi"/>
          <w:noProof/>
          <w:sz w:val="24"/>
          <w:szCs w:val="24"/>
          <w:lang w:val="fr-CA"/>
        </w:rPr>
        <w:t>—</w:t>
      </w:r>
      <w:r w:rsidR="005F683F" w:rsidRPr="00BA02FE">
        <w:rPr>
          <w:rFonts w:asciiTheme="minorHAnsi" w:hAnsiTheme="minorHAnsi"/>
          <w:noProof/>
          <w:sz w:val="24"/>
          <w:szCs w:val="24"/>
          <w:lang w:val="fr-CA"/>
        </w:rPr>
        <w:t xml:space="preserve"> ont été copiés et reproduits sous forme de tableau distinct (à partir de la </w:t>
      </w:r>
      <w:r w:rsidR="005F683F" w:rsidRPr="00F80D19">
        <w:rPr>
          <w:rFonts w:asciiTheme="minorHAnsi" w:hAnsiTheme="minorHAnsi"/>
          <w:noProof/>
          <w:sz w:val="24"/>
          <w:szCs w:val="24"/>
          <w:lang w:val="fr-CA"/>
        </w:rPr>
        <w:t>page</w:t>
      </w:r>
      <w:r w:rsidR="003D29D6" w:rsidRPr="00F80D19">
        <w:rPr>
          <w:rFonts w:asciiTheme="minorHAnsi" w:hAnsiTheme="minorHAnsi"/>
          <w:noProof/>
          <w:sz w:val="24"/>
          <w:szCs w:val="24"/>
          <w:lang w:val="fr-CA"/>
        </w:rPr>
        <w:t> </w:t>
      </w:r>
      <w:r w:rsidR="00F80D19" w:rsidRPr="006131B0">
        <w:rPr>
          <w:rFonts w:asciiTheme="minorHAnsi" w:hAnsiTheme="minorHAnsi"/>
          <w:noProof/>
          <w:sz w:val="24"/>
          <w:szCs w:val="24"/>
          <w:lang w:val="fr-CA"/>
        </w:rPr>
        <w:t>8</w:t>
      </w:r>
      <w:r w:rsidR="005F683F" w:rsidRPr="00F80D19">
        <w:rPr>
          <w:rFonts w:asciiTheme="minorHAnsi" w:hAnsiTheme="minorHAnsi"/>
          <w:noProof/>
          <w:sz w:val="24"/>
          <w:szCs w:val="24"/>
          <w:lang w:val="fr-CA"/>
        </w:rPr>
        <w:t>) ave</w:t>
      </w:r>
      <w:r w:rsidR="005F683F" w:rsidRPr="00BA02FE">
        <w:rPr>
          <w:rFonts w:asciiTheme="minorHAnsi" w:hAnsiTheme="minorHAnsi"/>
          <w:noProof/>
          <w:sz w:val="24"/>
          <w:szCs w:val="24"/>
          <w:lang w:val="fr-CA"/>
        </w:rPr>
        <w:t>c d</w:t>
      </w:r>
      <w:r w:rsidR="003D29D6" w:rsidRPr="00BA02FE">
        <w:rPr>
          <w:rFonts w:asciiTheme="minorHAnsi" w:hAnsiTheme="minorHAnsi"/>
          <w:noProof/>
          <w:sz w:val="24"/>
          <w:szCs w:val="24"/>
          <w:lang w:val="fr-CA"/>
        </w:rPr>
        <w:t>’</w:t>
      </w:r>
      <w:r w:rsidR="005F683F" w:rsidRPr="00BA02FE">
        <w:rPr>
          <w:rFonts w:asciiTheme="minorHAnsi" w:hAnsiTheme="minorHAnsi"/>
          <w:noProof/>
          <w:sz w:val="24"/>
          <w:szCs w:val="24"/>
          <w:lang w:val="fr-CA"/>
        </w:rPr>
        <w:t>autres options de placement de type fonds. Dans un souci d</w:t>
      </w:r>
      <w:r w:rsidR="003D29D6" w:rsidRPr="00BA02FE">
        <w:rPr>
          <w:rFonts w:asciiTheme="minorHAnsi" w:hAnsiTheme="minorHAnsi"/>
          <w:noProof/>
          <w:sz w:val="24"/>
          <w:szCs w:val="24"/>
          <w:lang w:val="fr-CA"/>
        </w:rPr>
        <w:t>’</w:t>
      </w:r>
      <w:r w:rsidR="005F683F" w:rsidRPr="00BA02FE">
        <w:rPr>
          <w:rFonts w:asciiTheme="minorHAnsi" w:hAnsiTheme="minorHAnsi"/>
          <w:noProof/>
          <w:sz w:val="24"/>
          <w:szCs w:val="24"/>
          <w:lang w:val="fr-CA"/>
        </w:rPr>
        <w:t xml:space="preserve">exhaustivité, ce tableau comporte </w:t>
      </w:r>
      <w:r w:rsidRPr="00BA02FE">
        <w:rPr>
          <w:rFonts w:asciiTheme="minorHAnsi" w:hAnsiTheme="minorHAnsi"/>
          <w:noProof/>
          <w:sz w:val="24"/>
          <w:szCs w:val="24"/>
          <w:lang w:val="fr-CA"/>
        </w:rPr>
        <w:t xml:space="preserve">également </w:t>
      </w:r>
      <w:r w:rsidR="005F683F" w:rsidRPr="00BA02FE">
        <w:rPr>
          <w:rFonts w:asciiTheme="minorHAnsi" w:hAnsiTheme="minorHAnsi"/>
          <w:noProof/>
          <w:sz w:val="24"/>
          <w:szCs w:val="24"/>
          <w:lang w:val="fr-CA"/>
        </w:rPr>
        <w:t xml:space="preserve">une liste de fonds </w:t>
      </w:r>
      <w:r w:rsidR="001F0D1D" w:rsidRPr="00BA02FE">
        <w:rPr>
          <w:rFonts w:asciiTheme="minorHAnsi" w:hAnsiTheme="minorHAnsi"/>
          <w:noProof/>
          <w:sz w:val="24"/>
          <w:szCs w:val="24"/>
          <w:lang w:val="fr-CA"/>
        </w:rPr>
        <w:t>de placement</w:t>
      </w:r>
      <w:r w:rsidR="005F683F" w:rsidRPr="00BA02FE">
        <w:rPr>
          <w:rFonts w:asciiTheme="minorHAnsi" w:hAnsiTheme="minorHAnsi"/>
          <w:noProof/>
          <w:sz w:val="24"/>
          <w:szCs w:val="24"/>
          <w:lang w:val="fr-CA"/>
        </w:rPr>
        <w:t xml:space="preserve"> qui, à ce moment-là, ne relevaient </w:t>
      </w:r>
      <w:r w:rsidR="005F683F" w:rsidRPr="00BA02FE">
        <w:rPr>
          <w:rFonts w:asciiTheme="minorHAnsi" w:hAnsiTheme="minorHAnsi"/>
          <w:i/>
          <w:iCs/>
          <w:noProof/>
          <w:sz w:val="24"/>
          <w:szCs w:val="24"/>
          <w:lang w:val="fr-CA"/>
        </w:rPr>
        <w:t>pas</w:t>
      </w:r>
      <w:r w:rsidR="005F683F" w:rsidRPr="00BA02FE">
        <w:rPr>
          <w:rFonts w:asciiTheme="minorHAnsi" w:hAnsiTheme="minorHAnsi"/>
          <w:noProof/>
          <w:sz w:val="24"/>
          <w:szCs w:val="24"/>
          <w:lang w:val="fr-CA"/>
        </w:rPr>
        <w:t xml:space="preserve"> </w:t>
      </w:r>
      <w:r w:rsidR="003D29D6" w:rsidRPr="00BA02FE">
        <w:rPr>
          <w:rFonts w:asciiTheme="minorHAnsi" w:hAnsiTheme="minorHAnsi"/>
          <w:noProof/>
          <w:sz w:val="24"/>
          <w:szCs w:val="24"/>
          <w:lang w:val="fr-CA"/>
        </w:rPr>
        <w:t xml:space="preserve">de la </w:t>
      </w:r>
      <w:r w:rsidR="003D29D6" w:rsidRPr="00BA02FE">
        <w:rPr>
          <w:rFonts w:asciiTheme="minorHAnsi" w:hAnsiTheme="minorHAnsi"/>
          <w:i/>
          <w:iCs/>
          <w:noProof/>
          <w:sz w:val="24"/>
          <w:szCs w:val="24"/>
          <w:lang w:val="fr-CA"/>
        </w:rPr>
        <w:t>Norme canadienne (NC)</w:t>
      </w:r>
      <w:r w:rsidR="005F683F" w:rsidRPr="00BA02FE">
        <w:rPr>
          <w:rFonts w:asciiTheme="minorHAnsi" w:hAnsiTheme="minorHAnsi"/>
          <w:i/>
          <w:iCs/>
          <w:noProof/>
          <w:sz w:val="24"/>
          <w:szCs w:val="24"/>
          <w:lang w:val="fr-CA"/>
        </w:rPr>
        <w:t xml:space="preserve"> 81-102 sur les fonds d</w:t>
      </w:r>
      <w:r w:rsidR="003D29D6" w:rsidRPr="00BA02FE">
        <w:rPr>
          <w:rFonts w:asciiTheme="minorHAnsi" w:hAnsiTheme="minorHAnsi"/>
          <w:i/>
          <w:iCs/>
          <w:noProof/>
          <w:sz w:val="24"/>
          <w:szCs w:val="24"/>
          <w:lang w:val="fr-CA"/>
        </w:rPr>
        <w:t>’</w:t>
      </w:r>
      <w:r w:rsidR="005F683F" w:rsidRPr="00BA02FE">
        <w:rPr>
          <w:rFonts w:asciiTheme="minorHAnsi" w:hAnsiTheme="minorHAnsi"/>
          <w:i/>
          <w:iCs/>
          <w:noProof/>
          <w:sz w:val="24"/>
          <w:szCs w:val="24"/>
          <w:lang w:val="fr-CA"/>
        </w:rPr>
        <w:t>investissement</w:t>
      </w:r>
      <w:r w:rsidR="005F683F" w:rsidRPr="00BA02FE">
        <w:rPr>
          <w:rFonts w:asciiTheme="minorHAnsi" w:hAnsiTheme="minorHAnsi"/>
          <w:noProof/>
          <w:sz w:val="24"/>
          <w:szCs w:val="24"/>
          <w:lang w:val="fr-CA"/>
        </w:rPr>
        <w:t>.</w:t>
      </w:r>
    </w:p>
    <w:p w14:paraId="01906A84" w14:textId="77777777" w:rsidR="005F683F" w:rsidRPr="00BA02FE" w:rsidRDefault="005F683F" w:rsidP="00E87BAD">
      <w:pPr>
        <w:spacing w:line="240" w:lineRule="auto"/>
        <w:ind w:left="720" w:right="720"/>
        <w:jc w:val="both"/>
        <w:rPr>
          <w:rFonts w:asciiTheme="minorHAnsi" w:hAnsiTheme="minorHAnsi"/>
          <w:noProof/>
          <w:sz w:val="24"/>
          <w:szCs w:val="24"/>
          <w:lang w:val="fr-CA"/>
        </w:rPr>
      </w:pPr>
    </w:p>
    <w:p w14:paraId="0724ED64" w14:textId="026D2FB7" w:rsidR="00866781" w:rsidRPr="00BA02FE" w:rsidRDefault="006064CA" w:rsidP="001F0D1D">
      <w:pPr>
        <w:ind w:left="90"/>
        <w:jc w:val="center"/>
        <w:rPr>
          <w:b/>
          <w:noProof/>
          <w:sz w:val="24"/>
          <w:szCs w:val="24"/>
          <w:lang w:val="fr-CA"/>
        </w:rPr>
      </w:pPr>
      <w:r w:rsidRPr="00BA02FE">
        <w:rPr>
          <w:b/>
          <w:noProof/>
          <w:sz w:val="24"/>
          <w:szCs w:val="24"/>
          <w:lang w:val="fr-CA"/>
        </w:rPr>
        <w:t>ACTIFS COTÉS EN BOURSE ET SUR LE MARCHÉ DE GRÉ À GRÉ / ACTIFS HORS BOURSE</w:t>
      </w:r>
    </w:p>
    <w:p w14:paraId="74E73BB5" w14:textId="77777777" w:rsidR="00AB09C5" w:rsidRPr="00BA02FE" w:rsidRDefault="00AB09C5" w:rsidP="001F0D1D">
      <w:pPr>
        <w:tabs>
          <w:tab w:val="left" w:pos="180"/>
        </w:tabs>
        <w:spacing w:line="240" w:lineRule="auto"/>
        <w:ind w:left="720"/>
        <w:jc w:val="both"/>
        <w:rPr>
          <w:rFonts w:asciiTheme="minorHAnsi" w:hAnsiTheme="minorHAnsi"/>
          <w:noProof/>
          <w:sz w:val="20"/>
          <w:lang w:val="fr-CA"/>
        </w:rPr>
      </w:pPr>
    </w:p>
    <w:tbl>
      <w:tblPr>
        <w:tblStyle w:val="TableGrid"/>
        <w:tblW w:w="11070" w:type="dxa"/>
        <w:tblInd w:w="355" w:type="dxa"/>
        <w:tblLayout w:type="fixed"/>
        <w:tblLook w:val="04A0" w:firstRow="1" w:lastRow="0" w:firstColumn="1" w:lastColumn="0" w:noHBand="0" w:noVBand="1"/>
      </w:tblPr>
      <w:tblGrid>
        <w:gridCol w:w="2160"/>
        <w:gridCol w:w="3579"/>
        <w:gridCol w:w="2721"/>
        <w:gridCol w:w="2610"/>
      </w:tblGrid>
      <w:tr w:rsidR="008531F6" w:rsidRPr="00BA02FE" w14:paraId="275A283D" w14:textId="77777777" w:rsidTr="005838F2">
        <w:trPr>
          <w:tblHeader/>
        </w:trPr>
        <w:tc>
          <w:tcPr>
            <w:tcW w:w="2160" w:type="dxa"/>
            <w:tcBorders>
              <w:bottom w:val="single" w:sz="6" w:space="0" w:color="auto"/>
            </w:tcBorders>
          </w:tcPr>
          <w:p w14:paraId="0D1C735A" w14:textId="312A3899" w:rsidR="008531F6" w:rsidRPr="00BA02FE" w:rsidRDefault="00925384" w:rsidP="001F0D1D">
            <w:pPr>
              <w:jc w:val="both"/>
              <w:rPr>
                <w:b/>
                <w:noProof/>
                <w:sz w:val="20"/>
                <w:szCs w:val="20"/>
                <w:lang w:val="fr-CA"/>
              </w:rPr>
            </w:pPr>
            <w:r w:rsidRPr="00BA02FE">
              <w:rPr>
                <w:b/>
                <w:noProof/>
                <w:sz w:val="20"/>
                <w:szCs w:val="20"/>
                <w:lang w:val="fr-CA"/>
              </w:rPr>
              <w:t>Catégorie de titre</w:t>
            </w:r>
          </w:p>
        </w:tc>
        <w:tc>
          <w:tcPr>
            <w:tcW w:w="3579" w:type="dxa"/>
            <w:tcBorders>
              <w:bottom w:val="single" w:sz="6" w:space="0" w:color="auto"/>
            </w:tcBorders>
          </w:tcPr>
          <w:p w14:paraId="1781F47A" w14:textId="77777777" w:rsidR="008531F6" w:rsidRPr="00BA02FE" w:rsidRDefault="008531F6" w:rsidP="001F0D1D">
            <w:pPr>
              <w:jc w:val="both"/>
              <w:rPr>
                <w:b/>
                <w:noProof/>
                <w:sz w:val="20"/>
                <w:szCs w:val="20"/>
                <w:lang w:val="fr-CA"/>
              </w:rPr>
            </w:pPr>
            <w:r w:rsidRPr="00BA02FE">
              <w:rPr>
                <w:b/>
                <w:noProof/>
                <w:sz w:val="20"/>
                <w:szCs w:val="20"/>
                <w:lang w:val="fr-CA"/>
              </w:rPr>
              <w:t>Description</w:t>
            </w:r>
          </w:p>
        </w:tc>
        <w:tc>
          <w:tcPr>
            <w:tcW w:w="2721" w:type="dxa"/>
            <w:tcBorders>
              <w:bottom w:val="single" w:sz="6" w:space="0" w:color="auto"/>
            </w:tcBorders>
            <w:vAlign w:val="center"/>
          </w:tcPr>
          <w:p w14:paraId="6F8CA94F" w14:textId="796B1711" w:rsidR="008531F6" w:rsidRPr="00BA02FE" w:rsidRDefault="003D29D6" w:rsidP="00EB13B1">
            <w:pPr>
              <w:jc w:val="center"/>
              <w:rPr>
                <w:b/>
                <w:noProof/>
                <w:sz w:val="20"/>
                <w:szCs w:val="20"/>
                <w:lang w:val="fr-CA"/>
              </w:rPr>
            </w:pPr>
            <w:r w:rsidRPr="00BA02FE">
              <w:rPr>
                <w:b/>
                <w:noProof/>
                <w:sz w:val="20"/>
                <w:szCs w:val="20"/>
                <w:lang w:val="fr-CA"/>
              </w:rPr>
              <w:t>Raccourcir</w:t>
            </w:r>
            <w:r w:rsidR="002526C5" w:rsidRPr="00BA02FE">
              <w:rPr>
                <w:b/>
                <w:noProof/>
                <w:sz w:val="20"/>
                <w:szCs w:val="20"/>
                <w:lang w:val="fr-CA"/>
              </w:rPr>
              <w:t xml:space="preserve"> à</w:t>
            </w:r>
            <w:r w:rsidR="00637301" w:rsidRPr="00BA02FE">
              <w:rPr>
                <w:b/>
                <w:noProof/>
                <w:sz w:val="20"/>
                <w:szCs w:val="20"/>
                <w:lang w:val="fr-CA"/>
              </w:rPr>
              <w:t xml:space="preserve"> </w:t>
            </w:r>
            <w:r w:rsidR="008531F6" w:rsidRPr="00BA02FE">
              <w:rPr>
                <w:b/>
                <w:noProof/>
                <w:sz w:val="20"/>
                <w:szCs w:val="20"/>
                <w:lang w:val="fr-CA"/>
              </w:rPr>
              <w:t>T+</w:t>
            </w:r>
            <w:r w:rsidR="008164E8" w:rsidRPr="00BA02FE">
              <w:rPr>
                <w:b/>
                <w:noProof/>
                <w:sz w:val="20"/>
                <w:szCs w:val="20"/>
                <w:lang w:val="fr-CA"/>
              </w:rPr>
              <w:t>1</w:t>
            </w:r>
            <w:r w:rsidR="008531F6" w:rsidRPr="00BA02FE">
              <w:rPr>
                <w:b/>
                <w:noProof/>
                <w:sz w:val="20"/>
                <w:szCs w:val="20"/>
                <w:lang w:val="fr-CA"/>
              </w:rPr>
              <w:t>?</w:t>
            </w:r>
            <w:r w:rsidR="009258DA" w:rsidRPr="00BA02FE" w:rsidDel="009258DA">
              <w:rPr>
                <w:b/>
                <w:noProof/>
                <w:sz w:val="20"/>
                <w:szCs w:val="20"/>
                <w:lang w:val="fr-CA"/>
              </w:rPr>
              <w:t xml:space="preserve"> </w:t>
            </w:r>
            <w:r w:rsidR="002526C5" w:rsidRPr="00BA02FE">
              <w:rPr>
                <w:b/>
                <w:noProof/>
                <w:sz w:val="20"/>
                <w:szCs w:val="20"/>
                <w:lang w:val="fr-CA"/>
              </w:rPr>
              <w:t>Oui</w:t>
            </w:r>
            <w:r w:rsidR="008531F6" w:rsidRPr="00BA02FE">
              <w:rPr>
                <w:b/>
                <w:noProof/>
                <w:sz w:val="20"/>
                <w:szCs w:val="20"/>
                <w:lang w:val="fr-CA"/>
              </w:rPr>
              <w:t>/No</w:t>
            </w:r>
            <w:r w:rsidR="002526C5" w:rsidRPr="00BA02FE">
              <w:rPr>
                <w:b/>
                <w:noProof/>
                <w:sz w:val="20"/>
                <w:szCs w:val="20"/>
                <w:lang w:val="fr-CA"/>
              </w:rPr>
              <w:t>n</w:t>
            </w:r>
          </w:p>
        </w:tc>
        <w:tc>
          <w:tcPr>
            <w:tcW w:w="2610" w:type="dxa"/>
            <w:tcBorders>
              <w:bottom w:val="single" w:sz="6" w:space="0" w:color="auto"/>
            </w:tcBorders>
            <w:vAlign w:val="center"/>
          </w:tcPr>
          <w:p w14:paraId="0248365C" w14:textId="4B917FA3" w:rsidR="008531F6" w:rsidRPr="00BA02FE" w:rsidRDefault="008531F6" w:rsidP="00EB13B1">
            <w:pPr>
              <w:rPr>
                <w:b/>
                <w:noProof/>
                <w:sz w:val="20"/>
                <w:szCs w:val="20"/>
                <w:lang w:val="fr-CA"/>
              </w:rPr>
            </w:pPr>
            <w:r w:rsidRPr="00BA02FE">
              <w:rPr>
                <w:b/>
                <w:noProof/>
                <w:sz w:val="20"/>
                <w:szCs w:val="20"/>
                <w:lang w:val="fr-CA"/>
              </w:rPr>
              <w:t>Comment</w:t>
            </w:r>
            <w:r w:rsidR="002526C5" w:rsidRPr="00BA02FE">
              <w:rPr>
                <w:b/>
                <w:noProof/>
                <w:sz w:val="20"/>
                <w:szCs w:val="20"/>
                <w:lang w:val="fr-CA"/>
              </w:rPr>
              <w:t>aires</w:t>
            </w:r>
          </w:p>
        </w:tc>
      </w:tr>
      <w:tr w:rsidR="009258DA" w:rsidRPr="00BA02FE" w14:paraId="7DFF30FF" w14:textId="77777777" w:rsidTr="005838F2">
        <w:tc>
          <w:tcPr>
            <w:tcW w:w="11070" w:type="dxa"/>
            <w:gridSpan w:val="4"/>
            <w:tcBorders>
              <w:top w:val="single" w:sz="6" w:space="0" w:color="auto"/>
              <w:bottom w:val="single" w:sz="6" w:space="0" w:color="auto"/>
            </w:tcBorders>
            <w:vAlign w:val="center"/>
          </w:tcPr>
          <w:p w14:paraId="48C66435" w14:textId="65B82261" w:rsidR="009258DA" w:rsidRPr="00BA02FE" w:rsidRDefault="00CD2F9B" w:rsidP="00FA791E">
            <w:pPr>
              <w:jc w:val="center"/>
              <w:rPr>
                <w:b/>
                <w:noProof/>
                <w:sz w:val="24"/>
                <w:szCs w:val="24"/>
                <w:lang w:val="fr-CA"/>
              </w:rPr>
            </w:pPr>
            <w:r w:rsidRPr="00BA02FE">
              <w:rPr>
                <w:b/>
                <w:noProof/>
                <w:color w:val="FF0000"/>
                <w:sz w:val="24"/>
                <w:szCs w:val="24"/>
                <w:lang w:val="fr-CA"/>
              </w:rPr>
              <w:t>Liquidités</w:t>
            </w:r>
            <w:r w:rsidR="002526C5" w:rsidRPr="00BA02FE">
              <w:rPr>
                <w:b/>
                <w:noProof/>
                <w:color w:val="FF0000"/>
                <w:sz w:val="24"/>
                <w:szCs w:val="24"/>
                <w:lang w:val="fr-CA"/>
              </w:rPr>
              <w:t xml:space="preserve"> et équivalents liquides</w:t>
            </w:r>
          </w:p>
        </w:tc>
      </w:tr>
      <w:tr w:rsidR="008531F6" w:rsidRPr="00BA02FE" w14:paraId="32762524" w14:textId="77777777" w:rsidTr="005838F2">
        <w:tc>
          <w:tcPr>
            <w:tcW w:w="2160" w:type="dxa"/>
            <w:tcBorders>
              <w:top w:val="single" w:sz="6" w:space="0" w:color="auto"/>
            </w:tcBorders>
          </w:tcPr>
          <w:p w14:paraId="4207AE7B" w14:textId="1B242D0D" w:rsidR="008531F6" w:rsidRPr="00BA02FE" w:rsidRDefault="002526C5" w:rsidP="00705771">
            <w:pPr>
              <w:pStyle w:val="ListParagraph"/>
              <w:numPr>
                <w:ilvl w:val="0"/>
                <w:numId w:val="11"/>
              </w:numPr>
              <w:rPr>
                <w:noProof/>
                <w:sz w:val="20"/>
                <w:szCs w:val="20"/>
                <w:lang w:val="fr-CA"/>
              </w:rPr>
            </w:pPr>
            <w:r w:rsidRPr="00BA02FE">
              <w:rPr>
                <w:noProof/>
                <w:sz w:val="20"/>
                <w:szCs w:val="20"/>
                <w:lang w:val="fr-CA"/>
              </w:rPr>
              <w:t>Liquidités</w:t>
            </w:r>
          </w:p>
        </w:tc>
        <w:tc>
          <w:tcPr>
            <w:tcW w:w="3579" w:type="dxa"/>
            <w:tcBorders>
              <w:top w:val="single" w:sz="6" w:space="0" w:color="auto"/>
            </w:tcBorders>
          </w:tcPr>
          <w:p w14:paraId="3BBD8AA9" w14:textId="2C6806D7" w:rsidR="008531F6" w:rsidRPr="00BA02FE" w:rsidRDefault="002526C5" w:rsidP="00705771">
            <w:pPr>
              <w:rPr>
                <w:noProof/>
                <w:sz w:val="20"/>
                <w:szCs w:val="20"/>
                <w:lang w:val="fr-CA"/>
              </w:rPr>
            </w:pPr>
            <w:r w:rsidRPr="00BA02FE">
              <w:rPr>
                <w:noProof/>
                <w:sz w:val="20"/>
                <w:szCs w:val="20"/>
                <w:lang w:val="fr-CA"/>
              </w:rPr>
              <w:t xml:space="preserve">Soldes </w:t>
            </w:r>
            <w:r w:rsidR="00CD2F9B" w:rsidRPr="00BA02FE">
              <w:rPr>
                <w:noProof/>
                <w:sz w:val="20"/>
                <w:szCs w:val="20"/>
                <w:lang w:val="fr-CA"/>
              </w:rPr>
              <w:t>liquides</w:t>
            </w:r>
            <w:r w:rsidRPr="00BA02FE">
              <w:rPr>
                <w:noProof/>
                <w:sz w:val="20"/>
                <w:szCs w:val="20"/>
                <w:lang w:val="fr-CA"/>
              </w:rPr>
              <w:t xml:space="preserve"> (toutes devises confondues)</w:t>
            </w:r>
          </w:p>
        </w:tc>
        <w:tc>
          <w:tcPr>
            <w:tcW w:w="2721" w:type="dxa"/>
            <w:tcBorders>
              <w:top w:val="single" w:sz="6" w:space="0" w:color="auto"/>
            </w:tcBorders>
            <w:vAlign w:val="center"/>
          </w:tcPr>
          <w:p w14:paraId="717D5766" w14:textId="44909BA8" w:rsidR="008531F6" w:rsidRPr="00BA02FE" w:rsidRDefault="00CA5CDE" w:rsidP="00EB13B1">
            <w:pPr>
              <w:jc w:val="center"/>
              <w:rPr>
                <w:noProof/>
                <w:sz w:val="20"/>
                <w:szCs w:val="20"/>
                <w:lang w:val="fr-CA"/>
              </w:rPr>
            </w:pPr>
            <w:r w:rsidRPr="00BA02FE">
              <w:rPr>
                <w:noProof/>
                <w:sz w:val="20"/>
                <w:szCs w:val="20"/>
                <w:lang w:val="fr-CA"/>
              </w:rPr>
              <w:t>NO</w:t>
            </w:r>
            <w:r w:rsidR="002526C5" w:rsidRPr="00BA02FE">
              <w:rPr>
                <w:noProof/>
                <w:sz w:val="20"/>
                <w:szCs w:val="20"/>
                <w:lang w:val="fr-CA"/>
              </w:rPr>
              <w:t>N</w:t>
            </w:r>
          </w:p>
        </w:tc>
        <w:tc>
          <w:tcPr>
            <w:tcW w:w="2610" w:type="dxa"/>
            <w:tcBorders>
              <w:top w:val="single" w:sz="6" w:space="0" w:color="auto"/>
            </w:tcBorders>
            <w:vAlign w:val="center"/>
          </w:tcPr>
          <w:p w14:paraId="708ED45F" w14:textId="7D0142E7" w:rsidR="008531F6" w:rsidRPr="00BA02FE" w:rsidRDefault="002526C5" w:rsidP="00EB13B1">
            <w:pPr>
              <w:rPr>
                <w:noProof/>
                <w:sz w:val="20"/>
                <w:szCs w:val="20"/>
                <w:lang w:val="fr-CA"/>
              </w:rPr>
            </w:pPr>
            <w:r w:rsidRPr="00BA02FE">
              <w:rPr>
                <w:noProof/>
                <w:sz w:val="20"/>
                <w:szCs w:val="20"/>
                <w:lang w:val="fr-CA"/>
              </w:rPr>
              <w:t>Aucun changement</w:t>
            </w:r>
          </w:p>
        </w:tc>
      </w:tr>
      <w:tr w:rsidR="008531F6" w:rsidRPr="009D62BC" w14:paraId="2FEBC001" w14:textId="77777777" w:rsidTr="005838F2">
        <w:tc>
          <w:tcPr>
            <w:tcW w:w="2160" w:type="dxa"/>
          </w:tcPr>
          <w:p w14:paraId="797BADD1" w14:textId="6FF9BA47" w:rsidR="008531F6" w:rsidRPr="00BA02FE" w:rsidRDefault="002526C5" w:rsidP="00705771">
            <w:pPr>
              <w:pStyle w:val="ListParagraph"/>
              <w:numPr>
                <w:ilvl w:val="0"/>
                <w:numId w:val="11"/>
              </w:numPr>
              <w:ind w:right="-105"/>
              <w:rPr>
                <w:noProof/>
                <w:sz w:val="20"/>
                <w:szCs w:val="20"/>
                <w:lang w:val="fr-CA"/>
              </w:rPr>
            </w:pPr>
            <w:r w:rsidRPr="00BA02FE">
              <w:rPr>
                <w:noProof/>
                <w:sz w:val="20"/>
                <w:szCs w:val="20"/>
                <w:lang w:val="fr-CA"/>
              </w:rPr>
              <w:t xml:space="preserve">Certificats de placement garantis </w:t>
            </w:r>
            <w:r w:rsidR="007D327D" w:rsidRPr="00BA02FE">
              <w:rPr>
                <w:noProof/>
                <w:sz w:val="20"/>
                <w:szCs w:val="20"/>
                <w:lang w:val="fr-CA"/>
              </w:rPr>
              <w:t>(</w:t>
            </w:r>
            <w:r w:rsidRPr="00BA02FE">
              <w:rPr>
                <w:noProof/>
                <w:sz w:val="20"/>
                <w:szCs w:val="20"/>
                <w:lang w:val="fr-CA"/>
              </w:rPr>
              <w:t>CPG</w:t>
            </w:r>
            <w:r w:rsidR="007D327D" w:rsidRPr="00BA02FE">
              <w:rPr>
                <w:noProof/>
                <w:sz w:val="20"/>
                <w:szCs w:val="20"/>
                <w:lang w:val="fr-CA"/>
              </w:rPr>
              <w:t>)</w:t>
            </w:r>
            <w:r w:rsidR="00705771" w:rsidRPr="00BA02FE">
              <w:rPr>
                <w:noProof/>
                <w:sz w:val="20"/>
                <w:szCs w:val="20"/>
                <w:lang w:val="fr-CA"/>
              </w:rPr>
              <w:t xml:space="preserve"> encaissables</w:t>
            </w:r>
          </w:p>
        </w:tc>
        <w:tc>
          <w:tcPr>
            <w:tcW w:w="3579" w:type="dxa"/>
          </w:tcPr>
          <w:p w14:paraId="18C81FAB" w14:textId="5A1E3669" w:rsidR="008531F6" w:rsidRPr="00BA02FE" w:rsidRDefault="00CD2F9B" w:rsidP="00705771">
            <w:pPr>
              <w:rPr>
                <w:noProof/>
                <w:sz w:val="20"/>
                <w:szCs w:val="20"/>
                <w:lang w:val="fr-CA"/>
              </w:rPr>
            </w:pPr>
            <w:r w:rsidRPr="00BA02FE">
              <w:rPr>
                <w:noProof/>
                <w:sz w:val="20"/>
                <w:szCs w:val="20"/>
                <w:lang w:val="fr-CA"/>
              </w:rPr>
              <w:t>Seuls les CPG liquides (remboursables) doivent être inclus à titre d</w:t>
            </w:r>
            <w:r w:rsidR="003D29D6" w:rsidRPr="00BA02FE">
              <w:rPr>
                <w:noProof/>
                <w:sz w:val="20"/>
                <w:szCs w:val="20"/>
                <w:lang w:val="fr-CA"/>
              </w:rPr>
              <w:t>’</w:t>
            </w:r>
            <w:r w:rsidRPr="00BA02FE">
              <w:rPr>
                <w:noProof/>
                <w:sz w:val="20"/>
                <w:szCs w:val="20"/>
                <w:lang w:val="fr-CA"/>
              </w:rPr>
              <w:t>équivalent liquide.</w:t>
            </w:r>
          </w:p>
        </w:tc>
        <w:tc>
          <w:tcPr>
            <w:tcW w:w="2721" w:type="dxa"/>
            <w:vAlign w:val="center"/>
          </w:tcPr>
          <w:p w14:paraId="50739699" w14:textId="551DD5E5" w:rsidR="008531F6"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7D653D40" w14:textId="4FC951BB" w:rsidR="008531F6" w:rsidRPr="00BA02FE" w:rsidRDefault="00845B3D" w:rsidP="00EB13B1">
            <w:pPr>
              <w:rPr>
                <w:noProof/>
                <w:sz w:val="20"/>
                <w:szCs w:val="20"/>
                <w:lang w:val="fr-CA"/>
              </w:rPr>
            </w:pPr>
            <w:r w:rsidRPr="00BA02FE">
              <w:rPr>
                <w:noProof/>
                <w:sz w:val="20"/>
                <w:szCs w:val="20"/>
                <w:lang w:val="fr-CA"/>
              </w:rPr>
              <w:t>Le règlement par défaut des CPG est T (le jour même), toutefois, les parties peuvent convenir de conditions de règlement différé.</w:t>
            </w:r>
          </w:p>
        </w:tc>
      </w:tr>
      <w:tr w:rsidR="008531F6" w:rsidRPr="00BA02FE" w14:paraId="76780E9F" w14:textId="77777777" w:rsidTr="005838F2">
        <w:tc>
          <w:tcPr>
            <w:tcW w:w="2160" w:type="dxa"/>
          </w:tcPr>
          <w:p w14:paraId="0231B4AB" w14:textId="537AD357" w:rsidR="008531F6" w:rsidRPr="00BA02FE" w:rsidRDefault="002526C5" w:rsidP="00705771">
            <w:pPr>
              <w:pStyle w:val="ListParagraph"/>
              <w:numPr>
                <w:ilvl w:val="0"/>
                <w:numId w:val="11"/>
              </w:numPr>
              <w:rPr>
                <w:noProof/>
                <w:sz w:val="20"/>
                <w:szCs w:val="20"/>
                <w:lang w:val="fr-CA"/>
              </w:rPr>
            </w:pPr>
            <w:r w:rsidRPr="00BA02FE">
              <w:rPr>
                <w:noProof/>
                <w:sz w:val="20"/>
                <w:szCs w:val="20"/>
                <w:lang w:val="fr-CA"/>
              </w:rPr>
              <w:t>Comptes d</w:t>
            </w:r>
            <w:r w:rsidR="003D29D6" w:rsidRPr="00BA02FE">
              <w:rPr>
                <w:noProof/>
                <w:sz w:val="20"/>
                <w:szCs w:val="20"/>
                <w:lang w:val="fr-CA"/>
              </w:rPr>
              <w:t>’</w:t>
            </w:r>
            <w:r w:rsidRPr="00BA02FE">
              <w:rPr>
                <w:noProof/>
                <w:sz w:val="20"/>
                <w:szCs w:val="20"/>
                <w:lang w:val="fr-CA"/>
              </w:rPr>
              <w:t>épargne à intérêt élevé (CÉI</w:t>
            </w:r>
            <w:r w:rsidR="003F7411" w:rsidRPr="00BA02FE">
              <w:rPr>
                <w:noProof/>
                <w:sz w:val="20"/>
                <w:szCs w:val="20"/>
                <w:lang w:val="fr-CA"/>
              </w:rPr>
              <w:t>É</w:t>
            </w:r>
            <w:r w:rsidRPr="00BA02FE">
              <w:rPr>
                <w:noProof/>
                <w:sz w:val="20"/>
                <w:szCs w:val="20"/>
                <w:lang w:val="fr-CA"/>
              </w:rPr>
              <w:t>)</w:t>
            </w:r>
          </w:p>
        </w:tc>
        <w:tc>
          <w:tcPr>
            <w:tcW w:w="3579" w:type="dxa"/>
          </w:tcPr>
          <w:p w14:paraId="47ECB07A" w14:textId="3B2FB8DF" w:rsidR="008531F6" w:rsidRPr="00BA02FE" w:rsidRDefault="002526C5" w:rsidP="00705771">
            <w:pPr>
              <w:rPr>
                <w:noProof/>
                <w:sz w:val="20"/>
                <w:szCs w:val="20"/>
                <w:lang w:val="fr-CA"/>
              </w:rPr>
            </w:pPr>
            <w:r w:rsidRPr="00BA02FE">
              <w:rPr>
                <w:noProof/>
                <w:sz w:val="20"/>
                <w:szCs w:val="20"/>
                <w:lang w:val="fr-CA"/>
              </w:rPr>
              <w:t>Il est présumé que tous les CÉI</w:t>
            </w:r>
            <w:r w:rsidR="003F7411" w:rsidRPr="00BA02FE">
              <w:rPr>
                <w:noProof/>
                <w:sz w:val="20"/>
                <w:szCs w:val="20"/>
                <w:lang w:val="fr-CA"/>
              </w:rPr>
              <w:t>É</w:t>
            </w:r>
            <w:r w:rsidRPr="00BA02FE">
              <w:rPr>
                <w:noProof/>
                <w:sz w:val="20"/>
                <w:szCs w:val="20"/>
                <w:lang w:val="fr-CA"/>
              </w:rPr>
              <w:t xml:space="preserve"> procurent une liquidité en temps opportun (totale ou partielle).</w:t>
            </w:r>
          </w:p>
        </w:tc>
        <w:tc>
          <w:tcPr>
            <w:tcW w:w="2721" w:type="dxa"/>
            <w:vAlign w:val="center"/>
          </w:tcPr>
          <w:p w14:paraId="5E3B268A" w14:textId="74A393E5" w:rsidR="008531F6"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1E427465" w14:textId="606DC456" w:rsidR="008531F6" w:rsidRPr="00BA02FE" w:rsidRDefault="002526C5" w:rsidP="00EB13B1">
            <w:pPr>
              <w:rPr>
                <w:noProof/>
                <w:sz w:val="20"/>
                <w:szCs w:val="20"/>
                <w:lang w:val="fr-CA"/>
              </w:rPr>
            </w:pPr>
            <w:r w:rsidRPr="00BA02FE">
              <w:rPr>
                <w:noProof/>
                <w:sz w:val="20"/>
                <w:szCs w:val="20"/>
                <w:lang w:val="fr-CA"/>
              </w:rPr>
              <w:t>Déjà au règlement</w:t>
            </w:r>
            <w:r w:rsidR="003D29D6" w:rsidRPr="00BA02FE">
              <w:rPr>
                <w:noProof/>
                <w:sz w:val="20"/>
                <w:szCs w:val="20"/>
                <w:lang w:val="fr-CA"/>
              </w:rPr>
              <w:t> </w:t>
            </w:r>
            <w:r w:rsidR="008531F6" w:rsidRPr="00BA02FE">
              <w:rPr>
                <w:noProof/>
                <w:sz w:val="20"/>
                <w:szCs w:val="20"/>
                <w:lang w:val="fr-CA"/>
              </w:rPr>
              <w:t xml:space="preserve">T+1 </w:t>
            </w:r>
          </w:p>
        </w:tc>
      </w:tr>
      <w:tr w:rsidR="008531F6" w:rsidRPr="00BA02FE" w14:paraId="4100365E" w14:textId="77777777" w:rsidTr="005838F2">
        <w:tc>
          <w:tcPr>
            <w:tcW w:w="2160" w:type="dxa"/>
          </w:tcPr>
          <w:p w14:paraId="76D5D1FC" w14:textId="5AE87F96" w:rsidR="008531F6" w:rsidRPr="00BA02FE" w:rsidRDefault="00845B3D" w:rsidP="00705771">
            <w:pPr>
              <w:pStyle w:val="ListParagraph"/>
              <w:numPr>
                <w:ilvl w:val="0"/>
                <w:numId w:val="11"/>
              </w:numPr>
              <w:rPr>
                <w:noProof/>
                <w:sz w:val="20"/>
                <w:szCs w:val="20"/>
                <w:lang w:val="fr-CA"/>
              </w:rPr>
            </w:pPr>
            <w:r w:rsidRPr="00BA02FE">
              <w:rPr>
                <w:noProof/>
                <w:sz w:val="20"/>
                <w:szCs w:val="20"/>
                <w:lang w:val="fr-CA"/>
              </w:rPr>
              <w:t>Fonds du marché monétaire</w:t>
            </w:r>
          </w:p>
        </w:tc>
        <w:tc>
          <w:tcPr>
            <w:tcW w:w="3579" w:type="dxa"/>
          </w:tcPr>
          <w:p w14:paraId="03E5A3DE" w14:textId="0DDE47CA" w:rsidR="008531F6" w:rsidRPr="00BA02FE" w:rsidRDefault="002E1C03" w:rsidP="00705771">
            <w:pPr>
              <w:rPr>
                <w:noProof/>
                <w:sz w:val="20"/>
                <w:szCs w:val="20"/>
                <w:lang w:val="fr-CA"/>
              </w:rPr>
            </w:pPr>
            <w:r w:rsidRPr="00BA02FE">
              <w:rPr>
                <w:noProof/>
                <w:sz w:val="20"/>
                <w:szCs w:val="20"/>
                <w:lang w:val="fr-CA"/>
              </w:rPr>
              <w:t>Comprennent</w:t>
            </w:r>
            <w:r w:rsidR="006F6697" w:rsidRPr="00BA02FE">
              <w:rPr>
                <w:noProof/>
                <w:sz w:val="20"/>
                <w:szCs w:val="20"/>
                <w:lang w:val="fr-CA"/>
              </w:rPr>
              <w:t xml:space="preserve"> les fonds négociés en bourse (FNB) et les fonds à capital fixe du marché monétaire composés de titres à court terme ou à échéance de moins d</w:t>
            </w:r>
            <w:r w:rsidR="003D29D6" w:rsidRPr="00BA02FE">
              <w:rPr>
                <w:noProof/>
                <w:sz w:val="20"/>
                <w:szCs w:val="20"/>
                <w:lang w:val="fr-CA"/>
              </w:rPr>
              <w:t>’</w:t>
            </w:r>
            <w:r w:rsidR="006F6697" w:rsidRPr="00BA02FE">
              <w:rPr>
                <w:noProof/>
                <w:sz w:val="20"/>
                <w:szCs w:val="20"/>
                <w:lang w:val="fr-CA"/>
              </w:rPr>
              <w:t>un an.</w:t>
            </w:r>
          </w:p>
        </w:tc>
        <w:tc>
          <w:tcPr>
            <w:tcW w:w="2721" w:type="dxa"/>
            <w:vAlign w:val="center"/>
          </w:tcPr>
          <w:p w14:paraId="1BCC1DBE" w14:textId="426DB300" w:rsidR="008531F6"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009DCE4E" w14:textId="4283B21C" w:rsidR="008531F6" w:rsidRPr="00BA02FE" w:rsidRDefault="008B03A6" w:rsidP="00EB13B1">
            <w:pPr>
              <w:rPr>
                <w:noProof/>
                <w:sz w:val="20"/>
                <w:szCs w:val="20"/>
                <w:lang w:val="fr-CA"/>
              </w:rPr>
            </w:pPr>
            <w:r w:rsidRPr="00BA02FE">
              <w:rPr>
                <w:noProof/>
                <w:sz w:val="20"/>
                <w:szCs w:val="20"/>
                <w:lang w:val="fr-CA"/>
              </w:rPr>
              <w:t>Déjà au règlement T+1</w:t>
            </w:r>
          </w:p>
        </w:tc>
      </w:tr>
      <w:tr w:rsidR="008531F6" w:rsidRPr="00BA02FE" w14:paraId="46A503C4" w14:textId="77777777" w:rsidTr="005838F2">
        <w:tc>
          <w:tcPr>
            <w:tcW w:w="2160" w:type="dxa"/>
            <w:vMerge w:val="restart"/>
          </w:tcPr>
          <w:p w14:paraId="4032782F" w14:textId="6850C96B" w:rsidR="008531F6" w:rsidRPr="00BA02FE" w:rsidRDefault="00175993" w:rsidP="00705771">
            <w:pPr>
              <w:pStyle w:val="ListParagraph"/>
              <w:numPr>
                <w:ilvl w:val="0"/>
                <w:numId w:val="11"/>
              </w:numPr>
              <w:rPr>
                <w:noProof/>
                <w:sz w:val="20"/>
                <w:szCs w:val="20"/>
                <w:lang w:val="fr-CA"/>
              </w:rPr>
            </w:pPr>
            <w:r w:rsidRPr="00BA02FE">
              <w:rPr>
                <w:noProof/>
                <w:sz w:val="20"/>
                <w:szCs w:val="20"/>
                <w:lang w:val="fr-CA"/>
              </w:rPr>
              <w:lastRenderedPageBreak/>
              <w:t>Billets à court terme</w:t>
            </w:r>
            <w:r w:rsidR="008531F6" w:rsidRPr="00BA02FE">
              <w:rPr>
                <w:noProof/>
                <w:sz w:val="20"/>
                <w:szCs w:val="20"/>
                <w:lang w:val="fr-CA"/>
              </w:rPr>
              <w:t xml:space="preserve"> </w:t>
            </w:r>
          </w:p>
        </w:tc>
        <w:tc>
          <w:tcPr>
            <w:tcW w:w="3579" w:type="dxa"/>
          </w:tcPr>
          <w:p w14:paraId="6B3985AD" w14:textId="41636ADC" w:rsidR="008531F6" w:rsidRPr="00BA02FE" w:rsidRDefault="002E1C03" w:rsidP="00705771">
            <w:pPr>
              <w:rPr>
                <w:noProof/>
                <w:sz w:val="20"/>
                <w:szCs w:val="20"/>
                <w:lang w:val="fr-CA"/>
              </w:rPr>
            </w:pPr>
            <w:r w:rsidRPr="00BA02FE">
              <w:rPr>
                <w:noProof/>
                <w:sz w:val="20"/>
                <w:szCs w:val="20"/>
                <w:lang w:val="fr-CA"/>
              </w:rPr>
              <w:t xml:space="preserve">Comprennent </w:t>
            </w:r>
            <w:r w:rsidR="006F6697" w:rsidRPr="00BA02FE">
              <w:rPr>
                <w:noProof/>
                <w:sz w:val="20"/>
                <w:szCs w:val="20"/>
                <w:lang w:val="fr-CA"/>
              </w:rPr>
              <w:t>tous les billets, obligations ou effets à terme dont le terme à l</w:t>
            </w:r>
            <w:r w:rsidR="003D29D6" w:rsidRPr="00BA02FE">
              <w:rPr>
                <w:noProof/>
                <w:sz w:val="20"/>
                <w:szCs w:val="20"/>
                <w:lang w:val="fr-CA"/>
              </w:rPr>
              <w:t>’</w:t>
            </w:r>
            <w:r w:rsidR="006F6697" w:rsidRPr="00BA02FE">
              <w:rPr>
                <w:noProof/>
                <w:sz w:val="20"/>
                <w:szCs w:val="20"/>
                <w:lang w:val="fr-CA"/>
              </w:rPr>
              <w:t>échéance à compter de la date d</w:t>
            </w:r>
            <w:r w:rsidR="003D29D6" w:rsidRPr="00BA02FE">
              <w:rPr>
                <w:noProof/>
                <w:sz w:val="20"/>
                <w:szCs w:val="20"/>
                <w:lang w:val="fr-CA"/>
              </w:rPr>
              <w:t>’</w:t>
            </w:r>
            <w:r w:rsidR="006F6697" w:rsidRPr="00BA02FE">
              <w:rPr>
                <w:noProof/>
                <w:sz w:val="20"/>
                <w:szCs w:val="20"/>
                <w:lang w:val="fr-CA"/>
              </w:rPr>
              <w:t>émission est &lt; 1 an; ceci inclut, mais sans s</w:t>
            </w:r>
            <w:r w:rsidR="003D29D6" w:rsidRPr="00BA02FE">
              <w:rPr>
                <w:noProof/>
                <w:sz w:val="20"/>
                <w:szCs w:val="20"/>
                <w:lang w:val="fr-CA"/>
              </w:rPr>
              <w:t>’</w:t>
            </w:r>
            <w:r w:rsidR="006F6697" w:rsidRPr="00BA02FE">
              <w:rPr>
                <w:noProof/>
                <w:sz w:val="20"/>
                <w:szCs w:val="20"/>
                <w:lang w:val="fr-CA"/>
              </w:rPr>
              <w:t>y limiter :</w:t>
            </w:r>
          </w:p>
        </w:tc>
        <w:tc>
          <w:tcPr>
            <w:tcW w:w="2721" w:type="dxa"/>
            <w:vAlign w:val="center"/>
          </w:tcPr>
          <w:p w14:paraId="18CA3F8D" w14:textId="0578D5C1" w:rsidR="008531F6"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21F4C7E3" w14:textId="70446AE1" w:rsidR="008531F6" w:rsidRPr="00BA02FE" w:rsidRDefault="008B03A6" w:rsidP="00EB13B1">
            <w:pPr>
              <w:rPr>
                <w:noProof/>
                <w:sz w:val="20"/>
                <w:szCs w:val="20"/>
                <w:lang w:val="fr-CA"/>
              </w:rPr>
            </w:pPr>
            <w:r w:rsidRPr="00BA02FE">
              <w:rPr>
                <w:noProof/>
                <w:sz w:val="20"/>
                <w:szCs w:val="20"/>
                <w:lang w:val="fr-CA"/>
              </w:rPr>
              <w:t>Aucun changement</w:t>
            </w:r>
          </w:p>
        </w:tc>
      </w:tr>
      <w:tr w:rsidR="00A95C9E" w:rsidRPr="00BA02FE" w14:paraId="3F7B8A3D" w14:textId="77777777" w:rsidTr="005838F2">
        <w:tc>
          <w:tcPr>
            <w:tcW w:w="2160" w:type="dxa"/>
            <w:vMerge/>
          </w:tcPr>
          <w:p w14:paraId="438E47CD" w14:textId="77777777" w:rsidR="00A95C9E" w:rsidRPr="00BA02FE" w:rsidRDefault="00A95C9E" w:rsidP="00705771">
            <w:pPr>
              <w:pStyle w:val="ListParagraph"/>
              <w:numPr>
                <w:ilvl w:val="0"/>
                <w:numId w:val="11"/>
              </w:numPr>
              <w:rPr>
                <w:noProof/>
                <w:sz w:val="20"/>
                <w:szCs w:val="20"/>
                <w:lang w:val="fr-CA"/>
              </w:rPr>
            </w:pPr>
          </w:p>
        </w:tc>
        <w:tc>
          <w:tcPr>
            <w:tcW w:w="3579" w:type="dxa"/>
          </w:tcPr>
          <w:p w14:paraId="446555E5" w14:textId="7ED85D22" w:rsidR="00A95C9E" w:rsidRPr="00BA02FE" w:rsidRDefault="003810FA" w:rsidP="00705771">
            <w:pPr>
              <w:pStyle w:val="ListParagraph"/>
              <w:numPr>
                <w:ilvl w:val="0"/>
                <w:numId w:val="22"/>
              </w:numPr>
              <w:ind w:left="418"/>
              <w:rPr>
                <w:noProof/>
                <w:sz w:val="20"/>
                <w:szCs w:val="20"/>
                <w:lang w:val="fr-CA"/>
              </w:rPr>
            </w:pPr>
            <w:r w:rsidRPr="00BA02FE">
              <w:rPr>
                <w:noProof/>
                <w:sz w:val="20"/>
                <w:szCs w:val="20"/>
                <w:lang w:val="fr-CA"/>
              </w:rPr>
              <w:t>Papier commercial adossé à des actifs (PCAA)</w:t>
            </w:r>
          </w:p>
        </w:tc>
        <w:tc>
          <w:tcPr>
            <w:tcW w:w="2721" w:type="dxa"/>
            <w:vAlign w:val="center"/>
          </w:tcPr>
          <w:p w14:paraId="7E9D0489" w14:textId="07ACFCEC" w:rsidR="00A95C9E"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68C3ED82" w14:textId="0BC53094" w:rsidR="00A95C9E" w:rsidRPr="00BA02FE" w:rsidRDefault="008B03A6" w:rsidP="00EB13B1">
            <w:pPr>
              <w:rPr>
                <w:noProof/>
                <w:sz w:val="20"/>
                <w:szCs w:val="20"/>
                <w:lang w:val="fr-CA"/>
              </w:rPr>
            </w:pPr>
            <w:r w:rsidRPr="00BA02FE">
              <w:rPr>
                <w:noProof/>
                <w:sz w:val="20"/>
                <w:szCs w:val="20"/>
                <w:lang w:val="fr-CA"/>
              </w:rPr>
              <w:t>Aucun changement</w:t>
            </w:r>
          </w:p>
        </w:tc>
      </w:tr>
      <w:tr w:rsidR="00A95C9E" w:rsidRPr="00BA02FE" w14:paraId="3FED67C7" w14:textId="77777777" w:rsidTr="005838F2">
        <w:tc>
          <w:tcPr>
            <w:tcW w:w="2160" w:type="dxa"/>
            <w:vMerge/>
          </w:tcPr>
          <w:p w14:paraId="0173233A" w14:textId="77777777" w:rsidR="00A95C9E" w:rsidRPr="00BA02FE" w:rsidRDefault="00A95C9E" w:rsidP="00705771">
            <w:pPr>
              <w:pStyle w:val="ListParagraph"/>
              <w:numPr>
                <w:ilvl w:val="0"/>
                <w:numId w:val="11"/>
              </w:numPr>
              <w:rPr>
                <w:noProof/>
                <w:sz w:val="20"/>
                <w:szCs w:val="20"/>
                <w:lang w:val="fr-CA"/>
              </w:rPr>
            </w:pPr>
          </w:p>
        </w:tc>
        <w:tc>
          <w:tcPr>
            <w:tcW w:w="3579" w:type="dxa"/>
          </w:tcPr>
          <w:p w14:paraId="391B0C1D" w14:textId="1F6C845C" w:rsidR="00A95C9E" w:rsidRPr="00BA02FE" w:rsidRDefault="003810FA" w:rsidP="00705771">
            <w:pPr>
              <w:pStyle w:val="ListParagraph"/>
              <w:numPr>
                <w:ilvl w:val="0"/>
                <w:numId w:val="22"/>
              </w:numPr>
              <w:ind w:left="418"/>
              <w:rPr>
                <w:noProof/>
                <w:sz w:val="20"/>
                <w:szCs w:val="20"/>
                <w:lang w:val="fr-CA"/>
              </w:rPr>
            </w:pPr>
            <w:r w:rsidRPr="00BA02FE">
              <w:rPr>
                <w:noProof/>
                <w:sz w:val="20"/>
                <w:szCs w:val="20"/>
                <w:lang w:val="fr-CA"/>
              </w:rPr>
              <w:t>Acceptations bancaires</w:t>
            </w:r>
          </w:p>
        </w:tc>
        <w:tc>
          <w:tcPr>
            <w:tcW w:w="2721" w:type="dxa"/>
            <w:vAlign w:val="center"/>
          </w:tcPr>
          <w:p w14:paraId="5DAC762C" w14:textId="126F98DE" w:rsidR="00A95C9E"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3C3E5FC9" w14:textId="26E5548A" w:rsidR="00A95C9E" w:rsidRPr="00BA02FE" w:rsidRDefault="008B03A6" w:rsidP="00EB13B1">
            <w:pPr>
              <w:rPr>
                <w:noProof/>
                <w:sz w:val="20"/>
                <w:szCs w:val="20"/>
                <w:lang w:val="fr-CA"/>
              </w:rPr>
            </w:pPr>
            <w:r w:rsidRPr="00BA02FE">
              <w:rPr>
                <w:noProof/>
                <w:sz w:val="20"/>
                <w:szCs w:val="20"/>
                <w:lang w:val="fr-CA"/>
              </w:rPr>
              <w:t>Aucun changement</w:t>
            </w:r>
          </w:p>
        </w:tc>
      </w:tr>
      <w:tr w:rsidR="00A95C9E" w:rsidRPr="00BA02FE" w14:paraId="33A724C0" w14:textId="77777777" w:rsidTr="005838F2">
        <w:tc>
          <w:tcPr>
            <w:tcW w:w="2160" w:type="dxa"/>
            <w:vMerge/>
          </w:tcPr>
          <w:p w14:paraId="11B31B42" w14:textId="77777777" w:rsidR="00A95C9E" w:rsidRPr="00BA02FE" w:rsidRDefault="00A95C9E" w:rsidP="00705771">
            <w:pPr>
              <w:pStyle w:val="ListParagraph"/>
              <w:numPr>
                <w:ilvl w:val="0"/>
                <w:numId w:val="11"/>
              </w:numPr>
              <w:rPr>
                <w:noProof/>
                <w:sz w:val="20"/>
                <w:szCs w:val="20"/>
                <w:lang w:val="fr-CA"/>
              </w:rPr>
            </w:pPr>
          </w:p>
        </w:tc>
        <w:tc>
          <w:tcPr>
            <w:tcW w:w="3579" w:type="dxa"/>
          </w:tcPr>
          <w:p w14:paraId="1F295DEA" w14:textId="5495447E" w:rsidR="00A95C9E" w:rsidRPr="00BA02FE" w:rsidRDefault="003810FA" w:rsidP="00705771">
            <w:pPr>
              <w:pStyle w:val="ListParagraph"/>
              <w:numPr>
                <w:ilvl w:val="0"/>
                <w:numId w:val="22"/>
              </w:numPr>
              <w:ind w:left="418"/>
              <w:rPr>
                <w:noProof/>
                <w:sz w:val="20"/>
                <w:szCs w:val="20"/>
                <w:lang w:val="fr-CA"/>
              </w:rPr>
            </w:pPr>
            <w:r w:rsidRPr="00BA02FE">
              <w:rPr>
                <w:noProof/>
                <w:sz w:val="20"/>
                <w:szCs w:val="20"/>
                <w:lang w:val="fr-CA"/>
              </w:rPr>
              <w:t>Certificats de dépôt (CD</w:t>
            </w:r>
            <w:r w:rsidR="00A95C9E" w:rsidRPr="00BA02FE">
              <w:rPr>
                <w:noProof/>
                <w:sz w:val="20"/>
                <w:szCs w:val="20"/>
                <w:lang w:val="fr-CA"/>
              </w:rPr>
              <w:t>)</w:t>
            </w:r>
          </w:p>
        </w:tc>
        <w:tc>
          <w:tcPr>
            <w:tcW w:w="2721" w:type="dxa"/>
            <w:vAlign w:val="center"/>
          </w:tcPr>
          <w:p w14:paraId="1104908F" w14:textId="5E4839CA" w:rsidR="00A95C9E"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772A7A6A" w14:textId="46E90381" w:rsidR="00A95C9E" w:rsidRPr="00BA02FE" w:rsidRDefault="008B03A6" w:rsidP="00EB13B1">
            <w:pPr>
              <w:rPr>
                <w:noProof/>
                <w:sz w:val="20"/>
                <w:szCs w:val="20"/>
                <w:lang w:val="fr-CA"/>
              </w:rPr>
            </w:pPr>
            <w:r w:rsidRPr="00BA02FE">
              <w:rPr>
                <w:noProof/>
                <w:sz w:val="20"/>
                <w:szCs w:val="20"/>
                <w:lang w:val="fr-CA"/>
              </w:rPr>
              <w:t>Aucun changement</w:t>
            </w:r>
          </w:p>
        </w:tc>
      </w:tr>
      <w:tr w:rsidR="00A95C9E" w:rsidRPr="00BA02FE" w14:paraId="53C04D08" w14:textId="77777777" w:rsidTr="005838F2">
        <w:tc>
          <w:tcPr>
            <w:tcW w:w="2160" w:type="dxa"/>
            <w:vMerge/>
          </w:tcPr>
          <w:p w14:paraId="2E39B77D" w14:textId="77777777" w:rsidR="00A95C9E" w:rsidRPr="00BA02FE" w:rsidRDefault="00A95C9E" w:rsidP="00705771">
            <w:pPr>
              <w:pStyle w:val="ListParagraph"/>
              <w:numPr>
                <w:ilvl w:val="0"/>
                <w:numId w:val="11"/>
              </w:numPr>
              <w:rPr>
                <w:noProof/>
                <w:sz w:val="20"/>
                <w:szCs w:val="20"/>
                <w:lang w:val="fr-CA"/>
              </w:rPr>
            </w:pPr>
          </w:p>
        </w:tc>
        <w:tc>
          <w:tcPr>
            <w:tcW w:w="3579" w:type="dxa"/>
          </w:tcPr>
          <w:p w14:paraId="7740F2CD" w14:textId="30718F7E" w:rsidR="00A95C9E" w:rsidRPr="00BA02FE" w:rsidRDefault="003810FA" w:rsidP="00705771">
            <w:pPr>
              <w:pStyle w:val="ListParagraph"/>
              <w:numPr>
                <w:ilvl w:val="0"/>
                <w:numId w:val="22"/>
              </w:numPr>
              <w:ind w:left="418"/>
              <w:rPr>
                <w:noProof/>
                <w:sz w:val="20"/>
                <w:szCs w:val="20"/>
                <w:lang w:val="fr-CA"/>
              </w:rPr>
            </w:pPr>
            <w:r w:rsidRPr="00BA02FE">
              <w:rPr>
                <w:noProof/>
                <w:sz w:val="20"/>
                <w:szCs w:val="20"/>
                <w:lang w:val="fr-CA"/>
              </w:rPr>
              <w:t>Papier commercial</w:t>
            </w:r>
            <w:r w:rsidR="00A95C9E" w:rsidRPr="00BA02FE">
              <w:rPr>
                <w:noProof/>
                <w:sz w:val="20"/>
                <w:szCs w:val="20"/>
                <w:lang w:val="fr-CA"/>
              </w:rPr>
              <w:t xml:space="preserve"> (P</w:t>
            </w:r>
            <w:r w:rsidRPr="00BA02FE">
              <w:rPr>
                <w:noProof/>
                <w:sz w:val="20"/>
                <w:szCs w:val="20"/>
                <w:lang w:val="fr-CA"/>
              </w:rPr>
              <w:t>C</w:t>
            </w:r>
            <w:r w:rsidR="00A95C9E" w:rsidRPr="00BA02FE">
              <w:rPr>
                <w:noProof/>
                <w:sz w:val="20"/>
                <w:szCs w:val="20"/>
                <w:lang w:val="fr-CA"/>
              </w:rPr>
              <w:t>)</w:t>
            </w:r>
          </w:p>
        </w:tc>
        <w:tc>
          <w:tcPr>
            <w:tcW w:w="2721" w:type="dxa"/>
            <w:vAlign w:val="center"/>
          </w:tcPr>
          <w:p w14:paraId="11AF8BC0" w14:textId="13DDDC9E" w:rsidR="00A95C9E"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1691002C" w14:textId="74384FBD" w:rsidR="00A95C9E" w:rsidRPr="00BA02FE" w:rsidRDefault="008B03A6" w:rsidP="00EB13B1">
            <w:pPr>
              <w:rPr>
                <w:noProof/>
                <w:sz w:val="20"/>
                <w:szCs w:val="20"/>
                <w:lang w:val="fr-CA"/>
              </w:rPr>
            </w:pPr>
            <w:r w:rsidRPr="00BA02FE">
              <w:rPr>
                <w:noProof/>
                <w:sz w:val="20"/>
                <w:szCs w:val="20"/>
                <w:lang w:val="fr-CA"/>
              </w:rPr>
              <w:t>Aucun changement</w:t>
            </w:r>
          </w:p>
        </w:tc>
      </w:tr>
      <w:tr w:rsidR="00A95C9E" w:rsidRPr="00BA02FE" w14:paraId="4E63F648" w14:textId="77777777" w:rsidTr="005838F2">
        <w:tc>
          <w:tcPr>
            <w:tcW w:w="2160" w:type="dxa"/>
            <w:vMerge/>
          </w:tcPr>
          <w:p w14:paraId="13581CD4" w14:textId="77777777" w:rsidR="00A95C9E" w:rsidRPr="00BA02FE" w:rsidRDefault="00A95C9E" w:rsidP="00705771">
            <w:pPr>
              <w:pStyle w:val="ListParagraph"/>
              <w:numPr>
                <w:ilvl w:val="0"/>
                <w:numId w:val="11"/>
              </w:numPr>
              <w:rPr>
                <w:noProof/>
                <w:sz w:val="20"/>
                <w:szCs w:val="20"/>
                <w:lang w:val="fr-CA"/>
              </w:rPr>
            </w:pPr>
          </w:p>
        </w:tc>
        <w:tc>
          <w:tcPr>
            <w:tcW w:w="3579" w:type="dxa"/>
          </w:tcPr>
          <w:p w14:paraId="36569A3A" w14:textId="3643FD45" w:rsidR="00A95C9E" w:rsidRPr="00BA02FE" w:rsidRDefault="003810FA" w:rsidP="00705771">
            <w:pPr>
              <w:pStyle w:val="ListParagraph"/>
              <w:numPr>
                <w:ilvl w:val="0"/>
                <w:numId w:val="22"/>
              </w:numPr>
              <w:ind w:left="418"/>
              <w:rPr>
                <w:noProof/>
                <w:sz w:val="20"/>
                <w:szCs w:val="20"/>
                <w:lang w:val="fr-CA"/>
              </w:rPr>
            </w:pPr>
            <w:r w:rsidRPr="00BA02FE">
              <w:rPr>
                <w:noProof/>
                <w:sz w:val="20"/>
                <w:szCs w:val="20"/>
                <w:lang w:val="fr-CA"/>
              </w:rPr>
              <w:t>Bons du Trésor</w:t>
            </w:r>
            <w:r w:rsidR="00A95C9E" w:rsidRPr="00BA02FE">
              <w:rPr>
                <w:noProof/>
                <w:sz w:val="20"/>
                <w:szCs w:val="20"/>
                <w:lang w:val="fr-CA"/>
              </w:rPr>
              <w:t xml:space="preserve"> (</w:t>
            </w:r>
            <w:r w:rsidRPr="00BA02FE">
              <w:rPr>
                <w:noProof/>
                <w:sz w:val="20"/>
                <w:szCs w:val="20"/>
                <w:lang w:val="fr-CA"/>
              </w:rPr>
              <w:t>BDT</w:t>
            </w:r>
            <w:r w:rsidR="00A95C9E" w:rsidRPr="00BA02FE">
              <w:rPr>
                <w:noProof/>
                <w:sz w:val="20"/>
                <w:szCs w:val="20"/>
                <w:lang w:val="fr-CA"/>
              </w:rPr>
              <w:t>)</w:t>
            </w:r>
          </w:p>
        </w:tc>
        <w:tc>
          <w:tcPr>
            <w:tcW w:w="2721" w:type="dxa"/>
            <w:vAlign w:val="center"/>
          </w:tcPr>
          <w:p w14:paraId="3367792A" w14:textId="416551E5" w:rsidR="00A95C9E"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23A00EC9" w14:textId="2F580ABC" w:rsidR="00A95C9E" w:rsidRPr="00BA02FE" w:rsidRDefault="008B03A6" w:rsidP="00EB13B1">
            <w:pPr>
              <w:rPr>
                <w:noProof/>
                <w:sz w:val="20"/>
                <w:szCs w:val="20"/>
                <w:lang w:val="fr-CA"/>
              </w:rPr>
            </w:pPr>
            <w:r w:rsidRPr="00BA02FE">
              <w:rPr>
                <w:noProof/>
                <w:sz w:val="20"/>
                <w:szCs w:val="20"/>
                <w:lang w:val="fr-CA"/>
              </w:rPr>
              <w:t>Aucun changement</w:t>
            </w:r>
          </w:p>
        </w:tc>
      </w:tr>
      <w:tr w:rsidR="00A95C9E" w:rsidRPr="00BA02FE" w14:paraId="0BAFF742" w14:textId="77777777" w:rsidTr="005838F2">
        <w:tc>
          <w:tcPr>
            <w:tcW w:w="2160" w:type="dxa"/>
            <w:vMerge/>
          </w:tcPr>
          <w:p w14:paraId="6BEC0A03" w14:textId="77777777" w:rsidR="00A95C9E" w:rsidRPr="00BA02FE" w:rsidRDefault="00A95C9E" w:rsidP="00705771">
            <w:pPr>
              <w:pStyle w:val="ListParagraph"/>
              <w:numPr>
                <w:ilvl w:val="0"/>
                <w:numId w:val="11"/>
              </w:numPr>
              <w:rPr>
                <w:noProof/>
                <w:sz w:val="20"/>
                <w:szCs w:val="20"/>
                <w:lang w:val="fr-CA"/>
              </w:rPr>
            </w:pPr>
          </w:p>
        </w:tc>
        <w:tc>
          <w:tcPr>
            <w:tcW w:w="3579" w:type="dxa"/>
          </w:tcPr>
          <w:p w14:paraId="5948F778" w14:textId="7926AA9E" w:rsidR="00A95C9E" w:rsidRPr="00BA02FE" w:rsidRDefault="003810FA" w:rsidP="00705771">
            <w:pPr>
              <w:pStyle w:val="ListParagraph"/>
              <w:numPr>
                <w:ilvl w:val="0"/>
                <w:numId w:val="22"/>
              </w:numPr>
              <w:ind w:left="418"/>
              <w:rPr>
                <w:noProof/>
                <w:sz w:val="20"/>
                <w:szCs w:val="20"/>
                <w:lang w:val="fr-CA"/>
              </w:rPr>
            </w:pPr>
            <w:r w:rsidRPr="00BA02FE">
              <w:rPr>
                <w:noProof/>
                <w:sz w:val="20"/>
                <w:szCs w:val="20"/>
                <w:lang w:val="fr-CA"/>
              </w:rPr>
              <w:t>Obligations d’épargne</w:t>
            </w:r>
          </w:p>
        </w:tc>
        <w:tc>
          <w:tcPr>
            <w:tcW w:w="2721" w:type="dxa"/>
            <w:vAlign w:val="center"/>
          </w:tcPr>
          <w:p w14:paraId="5F4AA377" w14:textId="67039661" w:rsidR="00A95C9E" w:rsidRPr="00BA02FE" w:rsidRDefault="003B2D88" w:rsidP="00EB13B1">
            <w:pPr>
              <w:jc w:val="center"/>
              <w:rPr>
                <w:noProof/>
                <w:sz w:val="20"/>
                <w:szCs w:val="20"/>
                <w:lang w:val="fr-CA"/>
              </w:rPr>
            </w:pPr>
            <w:r w:rsidRPr="00BA02FE">
              <w:rPr>
                <w:noProof/>
                <w:sz w:val="20"/>
                <w:szCs w:val="20"/>
                <w:lang w:val="fr-CA"/>
              </w:rPr>
              <w:t>NON</w:t>
            </w:r>
          </w:p>
        </w:tc>
        <w:tc>
          <w:tcPr>
            <w:tcW w:w="2610" w:type="dxa"/>
            <w:vAlign w:val="center"/>
          </w:tcPr>
          <w:p w14:paraId="4D6DE326" w14:textId="5FA0988D" w:rsidR="00A95C9E" w:rsidRPr="00BA02FE" w:rsidRDefault="008B03A6" w:rsidP="00EB13B1">
            <w:pPr>
              <w:rPr>
                <w:noProof/>
                <w:sz w:val="20"/>
                <w:szCs w:val="20"/>
                <w:lang w:val="fr-CA"/>
              </w:rPr>
            </w:pPr>
            <w:r w:rsidRPr="00BA02FE">
              <w:rPr>
                <w:noProof/>
                <w:sz w:val="20"/>
                <w:szCs w:val="20"/>
                <w:lang w:val="fr-CA"/>
              </w:rPr>
              <w:t>Aucun changement</w:t>
            </w:r>
          </w:p>
        </w:tc>
      </w:tr>
      <w:tr w:rsidR="00A95C9E" w:rsidRPr="009D62BC" w14:paraId="13F443E0" w14:textId="77777777" w:rsidTr="005838F2">
        <w:tc>
          <w:tcPr>
            <w:tcW w:w="2160" w:type="dxa"/>
          </w:tcPr>
          <w:p w14:paraId="78AD5945" w14:textId="25D32871" w:rsidR="00A95C9E" w:rsidRPr="00BA02FE" w:rsidRDefault="003810FA" w:rsidP="00705771">
            <w:pPr>
              <w:pStyle w:val="ListParagraph"/>
              <w:numPr>
                <w:ilvl w:val="0"/>
                <w:numId w:val="11"/>
              </w:numPr>
              <w:rPr>
                <w:noProof/>
                <w:sz w:val="20"/>
                <w:szCs w:val="20"/>
                <w:lang w:val="fr-CA"/>
              </w:rPr>
            </w:pPr>
            <w:r w:rsidRPr="00BA02FE">
              <w:rPr>
                <w:noProof/>
                <w:sz w:val="20"/>
                <w:szCs w:val="20"/>
                <w:lang w:val="fr-CA"/>
              </w:rPr>
              <w:t>Autres liquidités ou produits équivalents liquides</w:t>
            </w:r>
          </w:p>
        </w:tc>
        <w:tc>
          <w:tcPr>
            <w:tcW w:w="3579" w:type="dxa"/>
          </w:tcPr>
          <w:p w14:paraId="2D46920C" w14:textId="131665F9" w:rsidR="00A95C9E" w:rsidRPr="00BA02FE" w:rsidRDefault="008930F9" w:rsidP="00705771">
            <w:pPr>
              <w:rPr>
                <w:i/>
                <w:noProof/>
                <w:sz w:val="20"/>
                <w:szCs w:val="20"/>
                <w:lang w:val="fr-CA"/>
              </w:rPr>
            </w:pPr>
            <w:r w:rsidRPr="00BA02FE">
              <w:rPr>
                <w:i/>
                <w:noProof/>
                <w:sz w:val="20"/>
                <w:szCs w:val="20"/>
                <w:lang w:val="fr-CA"/>
              </w:rPr>
              <w:t>Espace pour tout produit nouveau ou non identifié.</w:t>
            </w:r>
          </w:p>
        </w:tc>
        <w:tc>
          <w:tcPr>
            <w:tcW w:w="2721" w:type="dxa"/>
            <w:vAlign w:val="center"/>
          </w:tcPr>
          <w:p w14:paraId="075D9215" w14:textId="77777777" w:rsidR="00A95C9E" w:rsidRPr="00BA02FE" w:rsidRDefault="00A95C9E" w:rsidP="00EB13B1">
            <w:pPr>
              <w:jc w:val="center"/>
              <w:rPr>
                <w:noProof/>
                <w:sz w:val="20"/>
                <w:szCs w:val="20"/>
                <w:lang w:val="fr-CA"/>
              </w:rPr>
            </w:pPr>
          </w:p>
        </w:tc>
        <w:tc>
          <w:tcPr>
            <w:tcW w:w="2610" w:type="dxa"/>
            <w:vAlign w:val="center"/>
          </w:tcPr>
          <w:p w14:paraId="2BB9DA31" w14:textId="77777777" w:rsidR="00A95C9E" w:rsidRPr="00BA02FE" w:rsidRDefault="00A95C9E" w:rsidP="00EB13B1">
            <w:pPr>
              <w:rPr>
                <w:noProof/>
                <w:sz w:val="20"/>
                <w:szCs w:val="20"/>
                <w:lang w:val="fr-CA"/>
              </w:rPr>
            </w:pPr>
          </w:p>
        </w:tc>
      </w:tr>
      <w:tr w:rsidR="00A95C9E" w:rsidRPr="00BA02FE" w14:paraId="55037AFF" w14:textId="77777777" w:rsidTr="005838F2">
        <w:tc>
          <w:tcPr>
            <w:tcW w:w="11070" w:type="dxa"/>
            <w:gridSpan w:val="4"/>
            <w:vAlign w:val="center"/>
          </w:tcPr>
          <w:p w14:paraId="1CDC9316" w14:textId="5A6C1B78" w:rsidR="00A95C9E" w:rsidRPr="00BA02FE" w:rsidRDefault="00193D83" w:rsidP="00FA791E">
            <w:pPr>
              <w:keepNext/>
              <w:keepLines/>
              <w:jc w:val="center"/>
              <w:rPr>
                <w:b/>
                <w:noProof/>
                <w:color w:val="FF0000"/>
                <w:sz w:val="24"/>
                <w:szCs w:val="24"/>
                <w:lang w:val="fr-CA"/>
              </w:rPr>
            </w:pPr>
            <w:r w:rsidRPr="00BA02FE">
              <w:rPr>
                <w:b/>
                <w:noProof/>
                <w:color w:val="FF0000"/>
                <w:sz w:val="24"/>
                <w:szCs w:val="24"/>
                <w:lang w:val="fr-CA"/>
              </w:rPr>
              <w:t>Revenu fixe</w:t>
            </w:r>
          </w:p>
        </w:tc>
      </w:tr>
      <w:tr w:rsidR="00A95C9E" w:rsidRPr="009D62BC" w14:paraId="2D803A8C" w14:textId="77777777" w:rsidTr="005838F2">
        <w:tc>
          <w:tcPr>
            <w:tcW w:w="2160" w:type="dxa"/>
            <w:tcBorders>
              <w:bottom w:val="single" w:sz="6" w:space="0" w:color="auto"/>
            </w:tcBorders>
          </w:tcPr>
          <w:p w14:paraId="019277D6" w14:textId="6A3C5DC4" w:rsidR="00A95C9E" w:rsidRPr="00BA02FE" w:rsidRDefault="003810FA" w:rsidP="00FA791E">
            <w:pPr>
              <w:pStyle w:val="ListParagraph"/>
              <w:keepNext/>
              <w:keepLines/>
              <w:numPr>
                <w:ilvl w:val="0"/>
                <w:numId w:val="11"/>
              </w:numPr>
              <w:rPr>
                <w:noProof/>
                <w:sz w:val="20"/>
                <w:szCs w:val="20"/>
                <w:lang w:val="fr-CA"/>
              </w:rPr>
            </w:pPr>
            <w:r w:rsidRPr="00BA02FE">
              <w:rPr>
                <w:noProof/>
                <w:sz w:val="20"/>
                <w:szCs w:val="20"/>
                <w:lang w:val="fr-CA"/>
              </w:rPr>
              <w:t>Obligations de société</w:t>
            </w:r>
            <w:r w:rsidR="00913BFB" w:rsidRPr="00BA02FE">
              <w:rPr>
                <w:noProof/>
                <w:sz w:val="20"/>
                <w:szCs w:val="20"/>
                <w:lang w:val="fr-CA"/>
              </w:rPr>
              <w:t>/</w:t>
            </w:r>
            <w:r w:rsidR="00B85D01">
              <w:rPr>
                <w:noProof/>
                <w:sz w:val="20"/>
                <w:szCs w:val="20"/>
                <w:lang w:val="fr-CA"/>
              </w:rPr>
              <w:t xml:space="preserve"> </w:t>
            </w:r>
            <w:r w:rsidR="00913BFB" w:rsidRPr="00BA02FE">
              <w:rPr>
                <w:noProof/>
                <w:sz w:val="20"/>
                <w:szCs w:val="20"/>
                <w:lang w:val="fr-CA"/>
              </w:rPr>
              <w:t>Débentures</w:t>
            </w:r>
          </w:p>
        </w:tc>
        <w:tc>
          <w:tcPr>
            <w:tcW w:w="3579" w:type="dxa"/>
            <w:tcBorders>
              <w:bottom w:val="single" w:sz="6" w:space="0" w:color="auto"/>
            </w:tcBorders>
          </w:tcPr>
          <w:p w14:paraId="6B0BEF22" w14:textId="1B644329" w:rsidR="00A95C9E" w:rsidRPr="00BA02FE" w:rsidRDefault="002E1C03" w:rsidP="00FA791E">
            <w:pPr>
              <w:keepNext/>
              <w:keepLines/>
              <w:rPr>
                <w:noProof/>
                <w:sz w:val="20"/>
                <w:szCs w:val="20"/>
                <w:lang w:val="fr-CA"/>
              </w:rPr>
            </w:pPr>
            <w:r w:rsidRPr="00BA02FE">
              <w:rPr>
                <w:noProof/>
                <w:sz w:val="20"/>
                <w:szCs w:val="20"/>
                <w:lang w:val="fr-CA"/>
              </w:rPr>
              <w:t xml:space="preserve">Comprennent </w:t>
            </w:r>
            <w:r w:rsidR="00193D83" w:rsidRPr="00BA02FE">
              <w:rPr>
                <w:noProof/>
                <w:sz w:val="20"/>
                <w:szCs w:val="20"/>
                <w:lang w:val="fr-CA"/>
              </w:rPr>
              <w:t>les obligations et débentures de sociétés de même que les obligations à haut rendement et les titres de fiducie de capitaux dont l</w:t>
            </w:r>
            <w:r w:rsidR="003D29D6" w:rsidRPr="00BA02FE">
              <w:rPr>
                <w:noProof/>
                <w:sz w:val="20"/>
                <w:szCs w:val="20"/>
                <w:lang w:val="fr-CA"/>
              </w:rPr>
              <w:t>’</w:t>
            </w:r>
            <w:r w:rsidR="00193D83" w:rsidRPr="00BA02FE">
              <w:rPr>
                <w:noProof/>
                <w:sz w:val="20"/>
                <w:szCs w:val="20"/>
                <w:lang w:val="fr-CA"/>
              </w:rPr>
              <w:t>échéance à compter de la date d</w:t>
            </w:r>
            <w:r w:rsidR="003D29D6" w:rsidRPr="00BA02FE">
              <w:rPr>
                <w:noProof/>
                <w:sz w:val="20"/>
                <w:szCs w:val="20"/>
                <w:lang w:val="fr-CA"/>
              </w:rPr>
              <w:t>’</w:t>
            </w:r>
            <w:r w:rsidR="00193D83" w:rsidRPr="00BA02FE">
              <w:rPr>
                <w:noProof/>
                <w:sz w:val="20"/>
                <w:szCs w:val="20"/>
                <w:lang w:val="fr-CA"/>
              </w:rPr>
              <w:t>émission est &gt;/= 1 an.</w:t>
            </w:r>
          </w:p>
        </w:tc>
        <w:tc>
          <w:tcPr>
            <w:tcW w:w="2721" w:type="dxa"/>
            <w:tcBorders>
              <w:bottom w:val="single" w:sz="6" w:space="0" w:color="auto"/>
            </w:tcBorders>
            <w:vAlign w:val="center"/>
          </w:tcPr>
          <w:p w14:paraId="43E1D381" w14:textId="642291A0" w:rsidR="00A95C9E" w:rsidRPr="00BA02FE" w:rsidRDefault="00193D83" w:rsidP="00FA791E">
            <w:pPr>
              <w:keepNext/>
              <w:keepLines/>
              <w:jc w:val="center"/>
              <w:rPr>
                <w:b/>
                <w:noProof/>
                <w:sz w:val="20"/>
                <w:szCs w:val="20"/>
                <w:lang w:val="fr-CA"/>
              </w:rPr>
            </w:pPr>
            <w:r w:rsidRPr="00BA02FE">
              <w:rPr>
                <w:b/>
                <w:noProof/>
                <w:sz w:val="20"/>
                <w:szCs w:val="20"/>
                <w:lang w:val="fr-CA"/>
              </w:rPr>
              <w:t>OUI</w:t>
            </w:r>
          </w:p>
        </w:tc>
        <w:tc>
          <w:tcPr>
            <w:tcW w:w="2610" w:type="dxa"/>
            <w:tcBorders>
              <w:bottom w:val="single" w:sz="6" w:space="0" w:color="auto"/>
            </w:tcBorders>
            <w:vAlign w:val="center"/>
          </w:tcPr>
          <w:p w14:paraId="497BCD4F" w14:textId="253EEAB3" w:rsidR="00A95C9E" w:rsidRPr="00BA02FE" w:rsidRDefault="008930F9" w:rsidP="00FA791E">
            <w:pPr>
              <w:keepNext/>
              <w:keepLines/>
              <w:rPr>
                <w:noProof/>
                <w:sz w:val="20"/>
                <w:szCs w:val="20"/>
                <w:lang w:val="fr-CA"/>
              </w:rPr>
            </w:pPr>
            <w:r w:rsidRPr="00BA02FE">
              <w:rPr>
                <w:noProof/>
                <w:sz w:val="20"/>
                <w:szCs w:val="20"/>
                <w:lang w:val="fr-CA"/>
              </w:rPr>
              <w:t xml:space="preserve">Toute transaction se négociant actuellement </w:t>
            </w:r>
            <w:r w:rsidR="00E07ECE" w:rsidRPr="00BA02FE">
              <w:rPr>
                <w:noProof/>
                <w:sz w:val="20"/>
                <w:szCs w:val="20"/>
                <w:lang w:val="fr-CA"/>
              </w:rPr>
              <w:t xml:space="preserve">à </w:t>
            </w:r>
            <w:r w:rsidRPr="00BA02FE">
              <w:rPr>
                <w:noProof/>
                <w:sz w:val="20"/>
                <w:szCs w:val="20"/>
                <w:lang w:val="fr-CA"/>
              </w:rPr>
              <w:t xml:space="preserve">T+2 passera à T+1. Les transactions actuelles soumises à des </w:t>
            </w:r>
            <w:r w:rsidR="003D29D6" w:rsidRPr="00BA02FE">
              <w:rPr>
                <w:noProof/>
                <w:sz w:val="20"/>
                <w:szCs w:val="20"/>
                <w:lang w:val="fr-CA"/>
              </w:rPr>
              <w:t>« </w:t>
            </w:r>
            <w:r w:rsidRPr="00BA02FE">
              <w:rPr>
                <w:noProof/>
                <w:sz w:val="20"/>
                <w:szCs w:val="20"/>
                <w:lang w:val="fr-CA"/>
              </w:rPr>
              <w:t>conditions spéciales</w:t>
            </w:r>
            <w:r w:rsidR="003D29D6" w:rsidRPr="00BA02FE">
              <w:rPr>
                <w:noProof/>
                <w:sz w:val="20"/>
                <w:szCs w:val="20"/>
                <w:lang w:val="fr-CA"/>
              </w:rPr>
              <w:t> »</w:t>
            </w:r>
            <w:r w:rsidRPr="00BA02FE">
              <w:rPr>
                <w:noProof/>
                <w:sz w:val="20"/>
                <w:szCs w:val="20"/>
                <w:lang w:val="fr-CA"/>
              </w:rPr>
              <w:t xml:space="preserve"> demeureront inchangées.</w:t>
            </w:r>
          </w:p>
        </w:tc>
      </w:tr>
      <w:tr w:rsidR="00913BFB" w:rsidRPr="009D62BC" w14:paraId="6730B31B" w14:textId="77777777" w:rsidTr="005838F2">
        <w:tc>
          <w:tcPr>
            <w:tcW w:w="2160" w:type="dxa"/>
            <w:tcBorders>
              <w:bottom w:val="single" w:sz="6" w:space="0" w:color="auto"/>
            </w:tcBorders>
          </w:tcPr>
          <w:p w14:paraId="6B10EEC8" w14:textId="149942EF" w:rsidR="00913BFB" w:rsidRPr="00BA02FE" w:rsidRDefault="00913BFB" w:rsidP="00FA791E">
            <w:pPr>
              <w:pStyle w:val="ListParagraph"/>
              <w:keepNext/>
              <w:keepLines/>
              <w:numPr>
                <w:ilvl w:val="0"/>
                <w:numId w:val="11"/>
              </w:numPr>
              <w:rPr>
                <w:noProof/>
                <w:sz w:val="20"/>
                <w:szCs w:val="20"/>
                <w:lang w:val="fr-CA"/>
              </w:rPr>
            </w:pPr>
            <w:r w:rsidRPr="00BA02FE">
              <w:rPr>
                <w:noProof/>
                <w:sz w:val="20"/>
                <w:szCs w:val="20"/>
                <w:lang w:val="fr-CA"/>
              </w:rPr>
              <w:t>Débentures cotées en bourse</w:t>
            </w:r>
          </w:p>
        </w:tc>
        <w:tc>
          <w:tcPr>
            <w:tcW w:w="3579" w:type="dxa"/>
            <w:tcBorders>
              <w:bottom w:val="single" w:sz="6" w:space="0" w:color="auto"/>
            </w:tcBorders>
          </w:tcPr>
          <w:p w14:paraId="03A55862" w14:textId="77777777" w:rsidR="00913BFB" w:rsidRPr="00BA02FE" w:rsidRDefault="00913BFB" w:rsidP="00FA791E">
            <w:pPr>
              <w:keepNext/>
              <w:keepLines/>
              <w:rPr>
                <w:noProof/>
                <w:sz w:val="20"/>
                <w:szCs w:val="20"/>
                <w:lang w:val="fr-CA"/>
              </w:rPr>
            </w:pPr>
          </w:p>
        </w:tc>
        <w:tc>
          <w:tcPr>
            <w:tcW w:w="2721" w:type="dxa"/>
            <w:tcBorders>
              <w:bottom w:val="single" w:sz="6" w:space="0" w:color="auto"/>
            </w:tcBorders>
            <w:vAlign w:val="center"/>
          </w:tcPr>
          <w:p w14:paraId="793C6677" w14:textId="77D82A68" w:rsidR="00913BFB" w:rsidRPr="00BA02FE" w:rsidRDefault="003768D8" w:rsidP="00FA791E">
            <w:pPr>
              <w:keepNext/>
              <w:keepLines/>
              <w:jc w:val="center"/>
              <w:rPr>
                <w:b/>
                <w:noProof/>
                <w:sz w:val="20"/>
                <w:szCs w:val="20"/>
                <w:lang w:val="fr-CA"/>
              </w:rPr>
            </w:pPr>
            <w:r w:rsidRPr="00BA02FE">
              <w:rPr>
                <w:b/>
                <w:noProof/>
                <w:sz w:val="20"/>
                <w:szCs w:val="20"/>
                <w:lang w:val="fr-CA"/>
              </w:rPr>
              <w:t>OUI</w:t>
            </w:r>
          </w:p>
        </w:tc>
        <w:tc>
          <w:tcPr>
            <w:tcW w:w="2610" w:type="dxa"/>
            <w:tcBorders>
              <w:bottom w:val="single" w:sz="6" w:space="0" w:color="auto"/>
            </w:tcBorders>
            <w:vAlign w:val="center"/>
          </w:tcPr>
          <w:p w14:paraId="1D33CC48" w14:textId="46675E97" w:rsidR="00913BFB" w:rsidRPr="00BA02FE" w:rsidRDefault="003768D8" w:rsidP="00FA791E">
            <w:pPr>
              <w:keepNext/>
              <w:keepLines/>
              <w:rPr>
                <w:noProof/>
                <w:sz w:val="20"/>
                <w:szCs w:val="20"/>
                <w:lang w:val="fr-CA"/>
              </w:rPr>
            </w:pPr>
            <w:r w:rsidRPr="00BA02FE">
              <w:rPr>
                <w:noProof/>
                <w:sz w:val="20"/>
                <w:szCs w:val="20"/>
                <w:lang w:val="fr-CA"/>
              </w:rPr>
              <w:t xml:space="preserve">Toute transaction négociée actuellement à T+2 passera à T+1. Les transactions courantes à </w:t>
            </w:r>
            <w:r w:rsidR="00C32502">
              <w:rPr>
                <w:noProof/>
                <w:sz w:val="20"/>
                <w:szCs w:val="20"/>
                <w:lang w:val="fr-CA"/>
              </w:rPr>
              <w:t>« </w:t>
            </w:r>
            <w:r w:rsidRPr="00BA02FE">
              <w:rPr>
                <w:noProof/>
                <w:sz w:val="20"/>
                <w:szCs w:val="20"/>
                <w:lang w:val="fr-CA"/>
              </w:rPr>
              <w:t>conditions spéciales</w:t>
            </w:r>
            <w:r w:rsidR="00C32502">
              <w:rPr>
                <w:noProof/>
                <w:sz w:val="20"/>
                <w:szCs w:val="20"/>
                <w:lang w:val="fr-CA"/>
              </w:rPr>
              <w:t> »</w:t>
            </w:r>
            <w:r w:rsidRPr="00BA02FE">
              <w:rPr>
                <w:noProof/>
                <w:sz w:val="20"/>
                <w:szCs w:val="20"/>
                <w:lang w:val="fr-CA"/>
              </w:rPr>
              <w:t xml:space="preserve"> demeureront inchangées.</w:t>
            </w:r>
          </w:p>
        </w:tc>
      </w:tr>
      <w:tr w:rsidR="00CF5347" w:rsidRPr="009D62BC" w14:paraId="6F355986" w14:textId="77777777" w:rsidTr="005838F2">
        <w:tc>
          <w:tcPr>
            <w:tcW w:w="2160" w:type="dxa"/>
            <w:vMerge w:val="restart"/>
            <w:tcBorders>
              <w:top w:val="single" w:sz="6" w:space="0" w:color="auto"/>
            </w:tcBorders>
          </w:tcPr>
          <w:p w14:paraId="2B52E773" w14:textId="7BFF55B8" w:rsidR="00CF5347" w:rsidRPr="00BA02FE" w:rsidRDefault="008930F9" w:rsidP="00705771">
            <w:pPr>
              <w:pStyle w:val="ListParagraph"/>
              <w:numPr>
                <w:ilvl w:val="0"/>
                <w:numId w:val="11"/>
              </w:numPr>
              <w:rPr>
                <w:noProof/>
                <w:sz w:val="20"/>
                <w:szCs w:val="20"/>
                <w:lang w:val="fr-CA"/>
              </w:rPr>
            </w:pPr>
            <w:r w:rsidRPr="00BA02FE">
              <w:rPr>
                <w:noProof/>
                <w:sz w:val="20"/>
                <w:szCs w:val="20"/>
                <w:lang w:val="fr-CA"/>
              </w:rPr>
              <w:t>Obligations gouvernementales</w:t>
            </w:r>
          </w:p>
          <w:p w14:paraId="2685F168" w14:textId="77777777" w:rsidR="00CF5347" w:rsidRPr="00BA02FE" w:rsidRDefault="00CF5347" w:rsidP="00705771">
            <w:pPr>
              <w:rPr>
                <w:noProof/>
                <w:sz w:val="20"/>
                <w:szCs w:val="20"/>
                <w:lang w:val="fr-CA"/>
              </w:rPr>
            </w:pPr>
          </w:p>
        </w:tc>
        <w:tc>
          <w:tcPr>
            <w:tcW w:w="3579" w:type="dxa"/>
            <w:tcBorders>
              <w:top w:val="single" w:sz="6" w:space="0" w:color="auto"/>
            </w:tcBorders>
          </w:tcPr>
          <w:p w14:paraId="7B8AF952" w14:textId="4191FCEB" w:rsidR="00CF5347" w:rsidRPr="00BA02FE" w:rsidRDefault="002E1C03" w:rsidP="00705771">
            <w:pPr>
              <w:rPr>
                <w:noProof/>
                <w:sz w:val="20"/>
                <w:szCs w:val="20"/>
                <w:lang w:val="fr-CA"/>
              </w:rPr>
            </w:pPr>
            <w:r w:rsidRPr="00BA02FE">
              <w:rPr>
                <w:noProof/>
                <w:sz w:val="20"/>
                <w:szCs w:val="20"/>
                <w:lang w:val="fr-CA"/>
              </w:rPr>
              <w:t xml:space="preserve">Comprennent </w:t>
            </w:r>
            <w:r w:rsidR="008930F9" w:rsidRPr="00BA02FE">
              <w:rPr>
                <w:noProof/>
                <w:sz w:val="20"/>
                <w:szCs w:val="20"/>
                <w:lang w:val="fr-CA"/>
              </w:rPr>
              <w:t>les obligations émises par toute forme de gouvernement, notamment, mais sans s</w:t>
            </w:r>
            <w:r w:rsidR="003D29D6" w:rsidRPr="00BA02FE">
              <w:rPr>
                <w:noProof/>
                <w:sz w:val="20"/>
                <w:szCs w:val="20"/>
                <w:lang w:val="fr-CA"/>
              </w:rPr>
              <w:t>’</w:t>
            </w:r>
            <w:r w:rsidR="008930F9" w:rsidRPr="00BA02FE">
              <w:rPr>
                <w:noProof/>
                <w:sz w:val="20"/>
                <w:szCs w:val="20"/>
                <w:lang w:val="fr-CA"/>
              </w:rPr>
              <w:t>y limiter, les suivantes, lorsque le terme à courir à compter de la date d</w:t>
            </w:r>
            <w:r w:rsidR="003D29D6" w:rsidRPr="00BA02FE">
              <w:rPr>
                <w:noProof/>
                <w:sz w:val="20"/>
                <w:szCs w:val="20"/>
                <w:lang w:val="fr-CA"/>
              </w:rPr>
              <w:t>’</w:t>
            </w:r>
            <w:r w:rsidR="008930F9" w:rsidRPr="00BA02FE">
              <w:rPr>
                <w:noProof/>
                <w:sz w:val="20"/>
                <w:szCs w:val="20"/>
                <w:lang w:val="fr-CA"/>
              </w:rPr>
              <w:t>émission &gt; 1 an :</w:t>
            </w:r>
          </w:p>
        </w:tc>
        <w:tc>
          <w:tcPr>
            <w:tcW w:w="2721" w:type="dxa"/>
            <w:tcBorders>
              <w:top w:val="single" w:sz="6" w:space="0" w:color="auto"/>
            </w:tcBorders>
            <w:vAlign w:val="center"/>
          </w:tcPr>
          <w:p w14:paraId="1D8BB720" w14:textId="56352E17" w:rsidR="00CF5347" w:rsidRPr="00BA02FE" w:rsidRDefault="00CF5347" w:rsidP="00EB13B1">
            <w:pPr>
              <w:jc w:val="center"/>
              <w:rPr>
                <w:b/>
                <w:noProof/>
                <w:sz w:val="20"/>
                <w:szCs w:val="20"/>
                <w:lang w:val="fr-CA"/>
              </w:rPr>
            </w:pPr>
          </w:p>
        </w:tc>
        <w:tc>
          <w:tcPr>
            <w:tcW w:w="2610" w:type="dxa"/>
            <w:vMerge w:val="restart"/>
            <w:tcBorders>
              <w:top w:val="single" w:sz="6" w:space="0" w:color="auto"/>
            </w:tcBorders>
            <w:vAlign w:val="center"/>
          </w:tcPr>
          <w:p w14:paraId="13FD15AD" w14:textId="1DB2AC99" w:rsidR="00CF5347" w:rsidRPr="00BA02FE" w:rsidRDefault="001701BF"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1701BF" w:rsidRPr="00BA02FE" w14:paraId="31A86798" w14:textId="77777777" w:rsidTr="005838F2">
        <w:tc>
          <w:tcPr>
            <w:tcW w:w="2160" w:type="dxa"/>
            <w:vMerge/>
          </w:tcPr>
          <w:p w14:paraId="6CB8550D" w14:textId="77777777" w:rsidR="001701BF" w:rsidRPr="00BA02FE" w:rsidRDefault="001701BF" w:rsidP="001701BF">
            <w:pPr>
              <w:pStyle w:val="ListParagraph"/>
              <w:numPr>
                <w:ilvl w:val="0"/>
                <w:numId w:val="11"/>
              </w:numPr>
              <w:rPr>
                <w:noProof/>
                <w:sz w:val="20"/>
                <w:szCs w:val="20"/>
                <w:lang w:val="fr-CA"/>
              </w:rPr>
            </w:pPr>
          </w:p>
        </w:tc>
        <w:tc>
          <w:tcPr>
            <w:tcW w:w="3579" w:type="dxa"/>
          </w:tcPr>
          <w:p w14:paraId="76A3B8CC" w14:textId="2BD158EF" w:rsidR="001701BF" w:rsidRPr="00BA02FE" w:rsidRDefault="001701BF" w:rsidP="001701BF">
            <w:pPr>
              <w:pStyle w:val="ListParagraph"/>
              <w:numPr>
                <w:ilvl w:val="0"/>
                <w:numId w:val="3"/>
              </w:numPr>
              <w:rPr>
                <w:noProof/>
                <w:sz w:val="20"/>
                <w:szCs w:val="20"/>
                <w:lang w:val="fr-CA"/>
              </w:rPr>
            </w:pPr>
            <w:r w:rsidRPr="00BA02FE">
              <w:rPr>
                <w:noProof/>
                <w:sz w:val="20"/>
                <w:szCs w:val="20"/>
                <w:lang w:val="fr-CA"/>
              </w:rPr>
              <w:t>Obligations municipales</w:t>
            </w:r>
          </w:p>
        </w:tc>
        <w:tc>
          <w:tcPr>
            <w:tcW w:w="2721" w:type="dxa"/>
            <w:vAlign w:val="center"/>
          </w:tcPr>
          <w:p w14:paraId="01F56BAA" w14:textId="72681CD2" w:rsidR="001701BF" w:rsidRPr="00BA02FE" w:rsidRDefault="001701BF" w:rsidP="00EB13B1">
            <w:pPr>
              <w:jc w:val="center"/>
              <w:rPr>
                <w:b/>
                <w:noProof/>
                <w:sz w:val="20"/>
                <w:szCs w:val="20"/>
                <w:lang w:val="fr-CA"/>
              </w:rPr>
            </w:pPr>
            <w:r w:rsidRPr="00BA02FE">
              <w:rPr>
                <w:b/>
                <w:noProof/>
                <w:sz w:val="20"/>
                <w:szCs w:val="20"/>
                <w:lang w:val="fr-CA"/>
              </w:rPr>
              <w:t>OUI</w:t>
            </w:r>
          </w:p>
        </w:tc>
        <w:tc>
          <w:tcPr>
            <w:tcW w:w="2610" w:type="dxa"/>
            <w:vMerge/>
            <w:vAlign w:val="center"/>
          </w:tcPr>
          <w:p w14:paraId="3F300E7B" w14:textId="77777777" w:rsidR="001701BF" w:rsidRPr="00BA02FE" w:rsidRDefault="001701BF" w:rsidP="00EB13B1">
            <w:pPr>
              <w:rPr>
                <w:noProof/>
                <w:sz w:val="20"/>
                <w:szCs w:val="20"/>
                <w:lang w:val="fr-CA"/>
              </w:rPr>
            </w:pPr>
          </w:p>
        </w:tc>
      </w:tr>
      <w:tr w:rsidR="001701BF" w:rsidRPr="00BA02FE" w14:paraId="6BF1C505" w14:textId="77777777" w:rsidTr="005838F2">
        <w:tc>
          <w:tcPr>
            <w:tcW w:w="2160" w:type="dxa"/>
            <w:vMerge/>
          </w:tcPr>
          <w:p w14:paraId="249AF3B5" w14:textId="77777777" w:rsidR="001701BF" w:rsidRPr="00BA02FE" w:rsidRDefault="001701BF" w:rsidP="001701BF">
            <w:pPr>
              <w:pStyle w:val="ListParagraph"/>
              <w:numPr>
                <w:ilvl w:val="0"/>
                <w:numId w:val="11"/>
              </w:numPr>
              <w:rPr>
                <w:noProof/>
                <w:sz w:val="20"/>
                <w:szCs w:val="20"/>
                <w:lang w:val="fr-CA"/>
              </w:rPr>
            </w:pPr>
          </w:p>
        </w:tc>
        <w:tc>
          <w:tcPr>
            <w:tcW w:w="3579" w:type="dxa"/>
          </w:tcPr>
          <w:p w14:paraId="67843726" w14:textId="0B15B830" w:rsidR="001701BF" w:rsidRPr="00BA02FE" w:rsidRDefault="001701BF" w:rsidP="001701BF">
            <w:pPr>
              <w:pStyle w:val="ListParagraph"/>
              <w:numPr>
                <w:ilvl w:val="0"/>
                <w:numId w:val="3"/>
              </w:numPr>
              <w:rPr>
                <w:noProof/>
                <w:sz w:val="20"/>
                <w:szCs w:val="20"/>
                <w:lang w:val="fr-CA"/>
              </w:rPr>
            </w:pPr>
            <w:r w:rsidRPr="00BA02FE">
              <w:rPr>
                <w:noProof/>
                <w:sz w:val="20"/>
                <w:szCs w:val="20"/>
                <w:lang w:val="fr-CA"/>
              </w:rPr>
              <w:t>Obligations provinciales</w:t>
            </w:r>
          </w:p>
        </w:tc>
        <w:tc>
          <w:tcPr>
            <w:tcW w:w="2721" w:type="dxa"/>
            <w:vAlign w:val="center"/>
          </w:tcPr>
          <w:p w14:paraId="5644A92F" w14:textId="7EF33A0D" w:rsidR="001701BF" w:rsidRPr="00BA02FE" w:rsidRDefault="001701BF" w:rsidP="00EB13B1">
            <w:pPr>
              <w:jc w:val="center"/>
              <w:rPr>
                <w:b/>
                <w:noProof/>
                <w:sz w:val="20"/>
                <w:szCs w:val="20"/>
                <w:lang w:val="fr-CA"/>
              </w:rPr>
            </w:pPr>
            <w:r w:rsidRPr="00BA02FE">
              <w:rPr>
                <w:b/>
                <w:noProof/>
                <w:sz w:val="20"/>
                <w:szCs w:val="20"/>
                <w:lang w:val="fr-CA"/>
              </w:rPr>
              <w:t>OUI</w:t>
            </w:r>
          </w:p>
        </w:tc>
        <w:tc>
          <w:tcPr>
            <w:tcW w:w="2610" w:type="dxa"/>
            <w:vMerge/>
            <w:vAlign w:val="center"/>
          </w:tcPr>
          <w:p w14:paraId="231B5DFF" w14:textId="77777777" w:rsidR="001701BF" w:rsidRPr="00BA02FE" w:rsidRDefault="001701BF" w:rsidP="00EB13B1">
            <w:pPr>
              <w:rPr>
                <w:noProof/>
                <w:sz w:val="20"/>
                <w:szCs w:val="20"/>
                <w:lang w:val="fr-CA"/>
              </w:rPr>
            </w:pPr>
          </w:p>
        </w:tc>
      </w:tr>
      <w:tr w:rsidR="001701BF" w:rsidRPr="00BA02FE" w14:paraId="0122D9B3" w14:textId="77777777" w:rsidTr="005838F2">
        <w:tc>
          <w:tcPr>
            <w:tcW w:w="2160" w:type="dxa"/>
            <w:vMerge/>
          </w:tcPr>
          <w:p w14:paraId="3520324D" w14:textId="77777777" w:rsidR="001701BF" w:rsidRPr="00BA02FE" w:rsidRDefault="001701BF" w:rsidP="001701BF">
            <w:pPr>
              <w:pStyle w:val="ListParagraph"/>
              <w:numPr>
                <w:ilvl w:val="0"/>
                <w:numId w:val="11"/>
              </w:numPr>
              <w:rPr>
                <w:noProof/>
                <w:sz w:val="20"/>
                <w:szCs w:val="20"/>
                <w:lang w:val="fr-CA"/>
              </w:rPr>
            </w:pPr>
          </w:p>
        </w:tc>
        <w:tc>
          <w:tcPr>
            <w:tcW w:w="3579" w:type="dxa"/>
          </w:tcPr>
          <w:p w14:paraId="2F367397" w14:textId="2048B7C0" w:rsidR="001701BF" w:rsidRPr="00BA02FE" w:rsidRDefault="001701BF" w:rsidP="001701BF">
            <w:pPr>
              <w:pStyle w:val="ListParagraph"/>
              <w:numPr>
                <w:ilvl w:val="0"/>
                <w:numId w:val="3"/>
              </w:numPr>
              <w:rPr>
                <w:noProof/>
                <w:sz w:val="20"/>
                <w:szCs w:val="20"/>
                <w:lang w:val="fr-CA"/>
              </w:rPr>
            </w:pPr>
            <w:r w:rsidRPr="00BA02FE">
              <w:rPr>
                <w:noProof/>
                <w:sz w:val="20"/>
                <w:szCs w:val="20"/>
                <w:lang w:val="fr-CA"/>
              </w:rPr>
              <w:t>Obligations fédérales – échéance de plus de 3 ans</w:t>
            </w:r>
          </w:p>
        </w:tc>
        <w:tc>
          <w:tcPr>
            <w:tcW w:w="2721" w:type="dxa"/>
            <w:vAlign w:val="center"/>
          </w:tcPr>
          <w:p w14:paraId="56FD237F" w14:textId="36045562" w:rsidR="001701BF" w:rsidRPr="00BA02FE" w:rsidRDefault="001701BF" w:rsidP="00EB13B1">
            <w:pPr>
              <w:jc w:val="center"/>
              <w:rPr>
                <w:b/>
                <w:noProof/>
                <w:sz w:val="20"/>
                <w:szCs w:val="20"/>
                <w:lang w:val="fr-CA"/>
              </w:rPr>
            </w:pPr>
            <w:r w:rsidRPr="00BA02FE">
              <w:rPr>
                <w:b/>
                <w:noProof/>
                <w:sz w:val="20"/>
                <w:szCs w:val="20"/>
                <w:lang w:val="fr-CA"/>
              </w:rPr>
              <w:t>OUI</w:t>
            </w:r>
          </w:p>
        </w:tc>
        <w:tc>
          <w:tcPr>
            <w:tcW w:w="2610" w:type="dxa"/>
            <w:vMerge/>
            <w:vAlign w:val="center"/>
          </w:tcPr>
          <w:p w14:paraId="4847AF74" w14:textId="77777777" w:rsidR="001701BF" w:rsidRPr="00BA02FE" w:rsidRDefault="001701BF" w:rsidP="00EB13B1">
            <w:pPr>
              <w:rPr>
                <w:noProof/>
                <w:sz w:val="20"/>
                <w:szCs w:val="20"/>
                <w:lang w:val="fr-CA"/>
              </w:rPr>
            </w:pPr>
          </w:p>
        </w:tc>
      </w:tr>
      <w:tr w:rsidR="001701BF" w:rsidRPr="00BA02FE" w14:paraId="74893525" w14:textId="77777777" w:rsidTr="005838F2">
        <w:tc>
          <w:tcPr>
            <w:tcW w:w="2160" w:type="dxa"/>
            <w:vMerge/>
          </w:tcPr>
          <w:p w14:paraId="3106525D" w14:textId="77777777" w:rsidR="001701BF" w:rsidRPr="00BA02FE" w:rsidRDefault="001701BF" w:rsidP="001701BF">
            <w:pPr>
              <w:pStyle w:val="ListParagraph"/>
              <w:numPr>
                <w:ilvl w:val="0"/>
                <w:numId w:val="11"/>
              </w:numPr>
              <w:rPr>
                <w:noProof/>
                <w:sz w:val="20"/>
                <w:szCs w:val="20"/>
                <w:lang w:val="fr-CA"/>
              </w:rPr>
            </w:pPr>
          </w:p>
        </w:tc>
        <w:tc>
          <w:tcPr>
            <w:tcW w:w="3579" w:type="dxa"/>
          </w:tcPr>
          <w:p w14:paraId="5A928550" w14:textId="33D2BA8B" w:rsidR="001701BF" w:rsidRPr="00BA02FE" w:rsidRDefault="001701BF" w:rsidP="001701BF">
            <w:pPr>
              <w:pStyle w:val="ListParagraph"/>
              <w:numPr>
                <w:ilvl w:val="0"/>
                <w:numId w:val="3"/>
              </w:numPr>
              <w:rPr>
                <w:noProof/>
                <w:sz w:val="20"/>
                <w:szCs w:val="20"/>
                <w:lang w:val="fr-CA"/>
              </w:rPr>
            </w:pPr>
            <w:r w:rsidRPr="00BA02FE">
              <w:rPr>
                <w:noProof/>
                <w:sz w:val="20"/>
                <w:szCs w:val="20"/>
                <w:lang w:val="fr-CA"/>
              </w:rPr>
              <w:t>Obligations fédérales – échéance de 3 ans ou moins</w:t>
            </w:r>
          </w:p>
        </w:tc>
        <w:tc>
          <w:tcPr>
            <w:tcW w:w="2721" w:type="dxa"/>
            <w:vAlign w:val="center"/>
          </w:tcPr>
          <w:p w14:paraId="42113700" w14:textId="2E028A11" w:rsidR="001701BF" w:rsidRPr="00BA02FE" w:rsidRDefault="001701BF" w:rsidP="00EB13B1">
            <w:pPr>
              <w:jc w:val="center"/>
              <w:rPr>
                <w:b/>
                <w:bCs/>
                <w:noProof/>
                <w:sz w:val="20"/>
                <w:szCs w:val="20"/>
                <w:lang w:val="fr-CA"/>
              </w:rPr>
            </w:pPr>
            <w:r w:rsidRPr="00BA02FE">
              <w:rPr>
                <w:b/>
                <w:noProof/>
                <w:sz w:val="20"/>
                <w:szCs w:val="20"/>
                <w:lang w:val="fr-CA"/>
              </w:rPr>
              <w:t>OUI</w:t>
            </w:r>
          </w:p>
        </w:tc>
        <w:tc>
          <w:tcPr>
            <w:tcW w:w="2610" w:type="dxa"/>
            <w:vAlign w:val="center"/>
          </w:tcPr>
          <w:p w14:paraId="2977D092" w14:textId="000F4A7A" w:rsidR="001701BF" w:rsidRPr="00BA02FE" w:rsidRDefault="001701BF" w:rsidP="00EB13B1">
            <w:pPr>
              <w:rPr>
                <w:noProof/>
                <w:sz w:val="20"/>
                <w:szCs w:val="20"/>
                <w:lang w:val="fr-CA"/>
              </w:rPr>
            </w:pPr>
            <w:r w:rsidRPr="00BA02FE">
              <w:rPr>
                <w:noProof/>
                <w:sz w:val="20"/>
                <w:szCs w:val="20"/>
                <w:lang w:val="fr-CA"/>
              </w:rPr>
              <w:t>Règlement actuel à T+2.</w:t>
            </w:r>
          </w:p>
        </w:tc>
      </w:tr>
      <w:tr w:rsidR="001701BF" w:rsidRPr="009D62BC" w14:paraId="1589B871" w14:textId="77777777" w:rsidTr="005838F2">
        <w:tc>
          <w:tcPr>
            <w:tcW w:w="2160" w:type="dxa"/>
            <w:vMerge/>
          </w:tcPr>
          <w:p w14:paraId="4EC8D0EA" w14:textId="77777777" w:rsidR="001701BF" w:rsidRPr="00BA02FE" w:rsidRDefault="001701BF" w:rsidP="001701BF">
            <w:pPr>
              <w:pStyle w:val="ListParagraph"/>
              <w:numPr>
                <w:ilvl w:val="0"/>
                <w:numId w:val="11"/>
              </w:numPr>
              <w:rPr>
                <w:noProof/>
                <w:sz w:val="20"/>
                <w:szCs w:val="20"/>
                <w:lang w:val="fr-CA"/>
              </w:rPr>
            </w:pPr>
          </w:p>
        </w:tc>
        <w:tc>
          <w:tcPr>
            <w:tcW w:w="3579" w:type="dxa"/>
          </w:tcPr>
          <w:p w14:paraId="0903803F" w14:textId="02570D47" w:rsidR="001701BF" w:rsidRPr="00BA02FE" w:rsidRDefault="001701BF" w:rsidP="001701BF">
            <w:pPr>
              <w:pStyle w:val="ListParagraph"/>
              <w:numPr>
                <w:ilvl w:val="0"/>
                <w:numId w:val="9"/>
              </w:numPr>
              <w:rPr>
                <w:noProof/>
                <w:sz w:val="20"/>
                <w:szCs w:val="20"/>
                <w:lang w:val="fr-CA"/>
              </w:rPr>
            </w:pPr>
            <w:r w:rsidRPr="00BA02FE">
              <w:rPr>
                <w:noProof/>
                <w:sz w:val="20"/>
                <w:szCs w:val="20"/>
                <w:lang w:val="fr-CA"/>
              </w:rPr>
              <w:t>Obligations d’épargne</w:t>
            </w:r>
          </w:p>
        </w:tc>
        <w:tc>
          <w:tcPr>
            <w:tcW w:w="2721" w:type="dxa"/>
            <w:vAlign w:val="center"/>
          </w:tcPr>
          <w:p w14:paraId="665B9F31" w14:textId="5442E458" w:rsidR="001701BF" w:rsidRPr="00BA02FE" w:rsidRDefault="001701BF" w:rsidP="00EB13B1">
            <w:pPr>
              <w:jc w:val="center"/>
              <w:rPr>
                <w:noProof/>
                <w:sz w:val="20"/>
                <w:szCs w:val="20"/>
                <w:lang w:val="fr-CA"/>
              </w:rPr>
            </w:pPr>
            <w:r w:rsidRPr="00BA02FE">
              <w:rPr>
                <w:noProof/>
                <w:sz w:val="20"/>
                <w:szCs w:val="20"/>
                <w:lang w:val="fr-CA"/>
              </w:rPr>
              <w:t>NON</w:t>
            </w:r>
          </w:p>
        </w:tc>
        <w:tc>
          <w:tcPr>
            <w:tcW w:w="2610" w:type="dxa"/>
            <w:vAlign w:val="center"/>
          </w:tcPr>
          <w:p w14:paraId="63F6FE61" w14:textId="43CDC86B" w:rsidR="001701BF" w:rsidRPr="00BA02FE" w:rsidRDefault="001701BF" w:rsidP="00EB13B1">
            <w:pPr>
              <w:rPr>
                <w:noProof/>
                <w:sz w:val="20"/>
                <w:szCs w:val="20"/>
                <w:lang w:val="fr-CA"/>
              </w:rPr>
            </w:pPr>
            <w:r w:rsidRPr="00BA02FE">
              <w:rPr>
                <w:noProof/>
                <w:sz w:val="20"/>
                <w:szCs w:val="20"/>
                <w:lang w:val="fr-CA"/>
              </w:rPr>
              <w:t>Les obligations d’épargne ne se négocient pas.</w:t>
            </w:r>
          </w:p>
        </w:tc>
      </w:tr>
      <w:tr w:rsidR="001701BF" w:rsidRPr="009D62BC" w14:paraId="5F73C057" w14:textId="77777777" w:rsidTr="005838F2">
        <w:tc>
          <w:tcPr>
            <w:tcW w:w="2160" w:type="dxa"/>
            <w:vMerge/>
          </w:tcPr>
          <w:p w14:paraId="5F757B6D" w14:textId="77777777" w:rsidR="001701BF" w:rsidRPr="00BA02FE" w:rsidRDefault="001701BF" w:rsidP="001701BF">
            <w:pPr>
              <w:pStyle w:val="ListParagraph"/>
              <w:ind w:left="360"/>
              <w:rPr>
                <w:noProof/>
                <w:sz w:val="20"/>
                <w:szCs w:val="20"/>
                <w:lang w:val="fr-CA"/>
              </w:rPr>
            </w:pPr>
          </w:p>
        </w:tc>
        <w:tc>
          <w:tcPr>
            <w:tcW w:w="3579" w:type="dxa"/>
          </w:tcPr>
          <w:p w14:paraId="390CDD2A" w14:textId="11800569" w:rsidR="001701BF" w:rsidRPr="00BA02FE" w:rsidRDefault="001701BF" w:rsidP="001701BF">
            <w:pPr>
              <w:pStyle w:val="ListParagraph"/>
              <w:numPr>
                <w:ilvl w:val="0"/>
                <w:numId w:val="9"/>
              </w:numPr>
              <w:rPr>
                <w:noProof/>
                <w:sz w:val="20"/>
                <w:szCs w:val="20"/>
                <w:lang w:val="fr-CA"/>
              </w:rPr>
            </w:pPr>
            <w:r w:rsidRPr="00BA02FE">
              <w:rPr>
                <w:noProof/>
                <w:sz w:val="20"/>
                <w:szCs w:val="20"/>
                <w:lang w:val="fr-CA"/>
              </w:rPr>
              <w:t>Obligations d’organismes (par exemple, les obligations hypothécaires du Canada émises par la Fiducie du Canada pour l’habitation et entièrement garanties par le gouvernement du Canada par le biais de la Société canadienne d’hypothèques et de logement (SCHL)).</w:t>
            </w:r>
          </w:p>
        </w:tc>
        <w:tc>
          <w:tcPr>
            <w:tcW w:w="2721" w:type="dxa"/>
            <w:vAlign w:val="center"/>
          </w:tcPr>
          <w:p w14:paraId="787C3272" w14:textId="77777777" w:rsidR="001701BF" w:rsidRDefault="001701BF" w:rsidP="00EB13B1">
            <w:pPr>
              <w:jc w:val="center"/>
              <w:rPr>
                <w:b/>
                <w:noProof/>
                <w:sz w:val="20"/>
                <w:szCs w:val="20"/>
                <w:lang w:val="fr-CA"/>
              </w:rPr>
            </w:pPr>
            <w:r w:rsidRPr="00BA02FE">
              <w:rPr>
                <w:b/>
                <w:noProof/>
                <w:sz w:val="20"/>
                <w:szCs w:val="20"/>
                <w:lang w:val="fr-CA"/>
              </w:rPr>
              <w:t>OUI</w:t>
            </w:r>
          </w:p>
          <w:p w14:paraId="3D8D628F" w14:textId="3020424E" w:rsidR="00790125" w:rsidRPr="00BA02FE" w:rsidRDefault="00790125" w:rsidP="00EB13B1">
            <w:pPr>
              <w:jc w:val="center"/>
              <w:rPr>
                <w:b/>
                <w:bCs/>
                <w:noProof/>
                <w:sz w:val="20"/>
                <w:szCs w:val="20"/>
                <w:lang w:val="fr-CA"/>
              </w:rPr>
            </w:pPr>
            <w:r>
              <w:rPr>
                <w:b/>
                <w:noProof/>
                <w:sz w:val="20"/>
                <w:szCs w:val="20"/>
                <w:lang w:val="fr-CA"/>
              </w:rPr>
              <w:t xml:space="preserve">(Remarque : </w:t>
            </w:r>
            <w:r w:rsidRPr="003B2A44">
              <w:rPr>
                <w:bCs/>
                <w:noProof/>
                <w:sz w:val="20"/>
                <w:szCs w:val="20"/>
                <w:lang w:val="fr-CA"/>
              </w:rPr>
              <w:t>En attente de confirmation officielle de la SCHL)</w:t>
            </w:r>
          </w:p>
        </w:tc>
        <w:tc>
          <w:tcPr>
            <w:tcW w:w="2610" w:type="dxa"/>
            <w:vAlign w:val="center"/>
          </w:tcPr>
          <w:p w14:paraId="740ADAAB" w14:textId="0B50124E" w:rsidR="001701BF" w:rsidRPr="00BA02FE" w:rsidRDefault="001701BF" w:rsidP="00EB13B1">
            <w:pPr>
              <w:pStyle w:val="NormalWeb"/>
              <w:spacing w:before="0" w:beforeAutospacing="0" w:after="0" w:afterAutospacing="0"/>
              <w:rPr>
                <w:noProof/>
                <w:sz w:val="20"/>
                <w:szCs w:val="20"/>
                <w:lang w:val="fr-CA"/>
              </w:rPr>
            </w:pPr>
            <w:r w:rsidRPr="00BA02FE">
              <w:rPr>
                <w:noProof/>
                <w:sz w:val="20"/>
                <w:szCs w:val="20"/>
                <w:lang w:val="fr-CA"/>
              </w:rPr>
              <w:t>Ne s’applique pas au règlement de l’émission primaire de ces obligations.</w:t>
            </w:r>
          </w:p>
        </w:tc>
      </w:tr>
      <w:tr w:rsidR="00E87BAD" w:rsidRPr="009D62BC" w14:paraId="5BF62A7C" w14:textId="77777777" w:rsidTr="005838F2">
        <w:tc>
          <w:tcPr>
            <w:tcW w:w="2160" w:type="dxa"/>
          </w:tcPr>
          <w:p w14:paraId="76A6AAEF" w14:textId="4C5887E8"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Obligations convertibles</w:t>
            </w:r>
          </w:p>
        </w:tc>
        <w:tc>
          <w:tcPr>
            <w:tcW w:w="3579" w:type="dxa"/>
          </w:tcPr>
          <w:p w14:paraId="44E56899" w14:textId="0158C472" w:rsidR="00E87BAD" w:rsidRPr="00BA02FE" w:rsidRDefault="00E87BAD" w:rsidP="00E87BAD">
            <w:pPr>
              <w:rPr>
                <w:noProof/>
                <w:sz w:val="20"/>
                <w:szCs w:val="20"/>
                <w:lang w:val="fr-CA"/>
              </w:rPr>
            </w:pPr>
            <w:r w:rsidRPr="00BA02FE">
              <w:rPr>
                <w:noProof/>
                <w:sz w:val="20"/>
                <w:szCs w:val="20"/>
                <w:lang w:val="fr-CA"/>
              </w:rPr>
              <w:t xml:space="preserve">Même si ces titres sont parfois traités comme des actions du fait qu’ils peuvent </w:t>
            </w:r>
            <w:r w:rsidRPr="00BA02FE">
              <w:rPr>
                <w:noProof/>
                <w:sz w:val="20"/>
                <w:szCs w:val="20"/>
                <w:lang w:val="fr-CA"/>
              </w:rPr>
              <w:lastRenderedPageBreak/>
              <w:t>être convertis en actions, ils devraient demeurer une classe d’actifs unique dans la catégorie des titres à revenu fixe jusqu’à ce que la conversion soit exercée et si elle est exercée. Au moment de l’exercice, la participation apparaîtra dans la sous-catégorie du titre dans lequel la débenture a été convertie.</w:t>
            </w:r>
          </w:p>
        </w:tc>
        <w:tc>
          <w:tcPr>
            <w:tcW w:w="2721" w:type="dxa"/>
            <w:vAlign w:val="center"/>
          </w:tcPr>
          <w:p w14:paraId="2FEA90EC" w14:textId="02008B92" w:rsidR="00E87BAD" w:rsidRPr="00BA02FE" w:rsidRDefault="00E87BAD" w:rsidP="00EB13B1">
            <w:pPr>
              <w:jc w:val="center"/>
              <w:rPr>
                <w:b/>
                <w:noProof/>
                <w:sz w:val="20"/>
                <w:szCs w:val="20"/>
                <w:lang w:val="fr-CA"/>
              </w:rPr>
            </w:pPr>
            <w:r w:rsidRPr="00BA02FE">
              <w:rPr>
                <w:b/>
                <w:noProof/>
                <w:sz w:val="20"/>
                <w:szCs w:val="20"/>
                <w:lang w:val="fr-CA"/>
              </w:rPr>
              <w:lastRenderedPageBreak/>
              <w:t>OUI</w:t>
            </w:r>
          </w:p>
        </w:tc>
        <w:tc>
          <w:tcPr>
            <w:tcW w:w="2610" w:type="dxa"/>
            <w:vAlign w:val="center"/>
          </w:tcPr>
          <w:p w14:paraId="54C67152" w14:textId="20E67C18" w:rsidR="00E87BAD" w:rsidRPr="00BA02FE" w:rsidRDefault="00E87BAD" w:rsidP="00EB13B1">
            <w:pPr>
              <w:rPr>
                <w:noProof/>
                <w:sz w:val="20"/>
                <w:szCs w:val="20"/>
                <w:lang w:val="fr-CA"/>
              </w:rPr>
            </w:pPr>
            <w:r w:rsidRPr="00BA02FE">
              <w:rPr>
                <w:noProof/>
                <w:sz w:val="20"/>
                <w:szCs w:val="20"/>
                <w:lang w:val="fr-CA"/>
              </w:rPr>
              <w:t xml:space="preserve">Toute transaction se négociant actuellement à </w:t>
            </w:r>
            <w:r w:rsidRPr="00BA02FE">
              <w:rPr>
                <w:noProof/>
                <w:sz w:val="20"/>
                <w:szCs w:val="20"/>
                <w:lang w:val="fr-CA"/>
              </w:rPr>
              <w:lastRenderedPageBreak/>
              <w:t>T+2 passera à T+1. Les transactions actuelles soumises à des « conditions spéciales » demeureront inchangées.</w:t>
            </w:r>
          </w:p>
        </w:tc>
      </w:tr>
      <w:tr w:rsidR="00E87BAD" w:rsidRPr="009D62BC" w14:paraId="09A9C7BB" w14:textId="77777777" w:rsidTr="005838F2">
        <w:tc>
          <w:tcPr>
            <w:tcW w:w="2160" w:type="dxa"/>
            <w:vMerge w:val="restart"/>
          </w:tcPr>
          <w:p w14:paraId="0DC8ACC5" w14:textId="580CF626"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lastRenderedPageBreak/>
              <w:t>Fonds à revenu fixe</w:t>
            </w:r>
          </w:p>
        </w:tc>
        <w:tc>
          <w:tcPr>
            <w:tcW w:w="3579" w:type="dxa"/>
          </w:tcPr>
          <w:p w14:paraId="6698AD3F" w14:textId="618B9704" w:rsidR="00E87BAD" w:rsidRPr="00BA02FE" w:rsidRDefault="00E87BAD" w:rsidP="00E87BAD">
            <w:pPr>
              <w:rPr>
                <w:noProof/>
                <w:sz w:val="20"/>
                <w:szCs w:val="20"/>
                <w:lang w:val="fr-CA"/>
              </w:rPr>
            </w:pPr>
            <w:r w:rsidRPr="00BA02FE">
              <w:rPr>
                <w:noProof/>
                <w:sz w:val="20"/>
                <w:szCs w:val="20"/>
                <w:lang w:val="fr-CA"/>
              </w:rPr>
              <w:t>Comprennent les produits à revenu fixe :</w:t>
            </w:r>
          </w:p>
        </w:tc>
        <w:tc>
          <w:tcPr>
            <w:tcW w:w="2721" w:type="dxa"/>
            <w:vMerge w:val="restart"/>
            <w:vAlign w:val="center"/>
          </w:tcPr>
          <w:p w14:paraId="0A3B461F" w14:textId="48B5D5FC" w:rsidR="00E87BAD" w:rsidRPr="000D611B" w:rsidRDefault="0017441B" w:rsidP="00EB13B1">
            <w:pPr>
              <w:jc w:val="center"/>
              <w:rPr>
                <w:b/>
                <w:bCs/>
                <w:noProof/>
                <w:sz w:val="20"/>
                <w:szCs w:val="20"/>
                <w:lang w:val="fr-CA"/>
              </w:rPr>
            </w:pPr>
            <w:r w:rsidRPr="000D611B">
              <w:rPr>
                <w:b/>
                <w:bCs/>
                <w:noProof/>
                <w:sz w:val="20"/>
                <w:szCs w:val="20"/>
                <w:lang w:val="fr-CA"/>
              </w:rPr>
              <w:t>En cours d</w:t>
            </w:r>
            <w:r w:rsidR="00C32502" w:rsidRPr="000D611B">
              <w:rPr>
                <w:b/>
                <w:bCs/>
                <w:noProof/>
                <w:sz w:val="20"/>
                <w:szCs w:val="20"/>
                <w:lang w:val="fr-CA"/>
              </w:rPr>
              <w:t>’</w:t>
            </w:r>
            <w:r w:rsidRPr="000D611B">
              <w:rPr>
                <w:b/>
                <w:bCs/>
                <w:noProof/>
                <w:sz w:val="20"/>
                <w:szCs w:val="20"/>
                <w:lang w:val="fr-CA"/>
              </w:rPr>
              <w:t>examen par le secteur des fonds communs de placement</w:t>
            </w:r>
            <w:r w:rsidR="00E87BAD" w:rsidRPr="000D611B">
              <w:rPr>
                <w:b/>
                <w:bCs/>
                <w:noProof/>
                <w:sz w:val="20"/>
                <w:szCs w:val="20"/>
                <w:lang w:val="fr-CA"/>
              </w:rPr>
              <w:t>; consulter le tableau distinct des fonds ci-dessous</w:t>
            </w:r>
          </w:p>
        </w:tc>
        <w:tc>
          <w:tcPr>
            <w:tcW w:w="2610" w:type="dxa"/>
            <w:vMerge w:val="restart"/>
            <w:vAlign w:val="center"/>
          </w:tcPr>
          <w:p w14:paraId="1EFDCCE2" w14:textId="31F0412E" w:rsidR="00E87BAD" w:rsidRPr="000D611B" w:rsidRDefault="00E87BAD" w:rsidP="00EB13B1">
            <w:pPr>
              <w:rPr>
                <w:b/>
                <w:bCs/>
                <w:noProof/>
                <w:sz w:val="20"/>
                <w:szCs w:val="20"/>
                <w:lang w:val="fr-CA"/>
              </w:rPr>
            </w:pPr>
            <w:r w:rsidRPr="000D611B">
              <w:rPr>
                <w:b/>
                <w:bCs/>
                <w:noProof/>
                <w:sz w:val="20"/>
                <w:szCs w:val="20"/>
                <w:lang w:val="fr-CA"/>
              </w:rPr>
              <w:t>Consulter le tableau distinct des fonds ci-dessous</w:t>
            </w:r>
          </w:p>
        </w:tc>
      </w:tr>
      <w:tr w:rsidR="00E87BAD" w:rsidRPr="00BA02FE" w14:paraId="2CEE6D3E" w14:textId="77777777" w:rsidTr="005838F2">
        <w:tc>
          <w:tcPr>
            <w:tcW w:w="2160" w:type="dxa"/>
            <w:vMerge/>
          </w:tcPr>
          <w:p w14:paraId="51600B4D" w14:textId="77777777" w:rsidR="00E87BAD" w:rsidRPr="00BA02FE" w:rsidRDefault="00E87BAD" w:rsidP="00E87BAD">
            <w:pPr>
              <w:pStyle w:val="ListParagraph"/>
              <w:numPr>
                <w:ilvl w:val="0"/>
                <w:numId w:val="11"/>
              </w:numPr>
              <w:rPr>
                <w:noProof/>
                <w:sz w:val="20"/>
                <w:szCs w:val="20"/>
                <w:lang w:val="fr-CA"/>
              </w:rPr>
            </w:pPr>
          </w:p>
        </w:tc>
        <w:tc>
          <w:tcPr>
            <w:tcW w:w="3579" w:type="dxa"/>
          </w:tcPr>
          <w:p w14:paraId="6C9E75EA" w14:textId="7369ED2D"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 xml:space="preserve">Fonds communs de placement </w:t>
            </w:r>
          </w:p>
        </w:tc>
        <w:tc>
          <w:tcPr>
            <w:tcW w:w="2721" w:type="dxa"/>
            <w:vMerge/>
            <w:vAlign w:val="center"/>
          </w:tcPr>
          <w:p w14:paraId="161E9642" w14:textId="77777777" w:rsidR="00E87BAD" w:rsidRPr="00BA02FE" w:rsidRDefault="00E87BAD" w:rsidP="00EB13B1">
            <w:pPr>
              <w:jc w:val="center"/>
              <w:rPr>
                <w:noProof/>
                <w:sz w:val="20"/>
                <w:szCs w:val="20"/>
                <w:lang w:val="fr-CA"/>
              </w:rPr>
            </w:pPr>
          </w:p>
        </w:tc>
        <w:tc>
          <w:tcPr>
            <w:tcW w:w="2610" w:type="dxa"/>
            <w:vMerge/>
            <w:vAlign w:val="center"/>
          </w:tcPr>
          <w:p w14:paraId="2E772C62" w14:textId="77777777" w:rsidR="00E87BAD" w:rsidRPr="00BA02FE" w:rsidRDefault="00E87BAD" w:rsidP="00EB13B1">
            <w:pPr>
              <w:rPr>
                <w:noProof/>
                <w:sz w:val="20"/>
                <w:szCs w:val="20"/>
                <w:lang w:val="fr-CA"/>
              </w:rPr>
            </w:pPr>
          </w:p>
        </w:tc>
      </w:tr>
      <w:tr w:rsidR="00E87BAD" w:rsidRPr="00BA02FE" w14:paraId="2AF40FD7" w14:textId="77777777" w:rsidTr="005838F2">
        <w:trPr>
          <w:trHeight w:val="278"/>
        </w:trPr>
        <w:tc>
          <w:tcPr>
            <w:tcW w:w="2160" w:type="dxa"/>
            <w:vMerge/>
          </w:tcPr>
          <w:p w14:paraId="51E19B7E" w14:textId="77777777" w:rsidR="00E87BAD" w:rsidRPr="00BA02FE" w:rsidRDefault="00E87BAD" w:rsidP="00E87BAD">
            <w:pPr>
              <w:pStyle w:val="ListParagraph"/>
              <w:numPr>
                <w:ilvl w:val="0"/>
                <w:numId w:val="11"/>
              </w:numPr>
              <w:rPr>
                <w:noProof/>
                <w:sz w:val="20"/>
                <w:szCs w:val="20"/>
                <w:lang w:val="fr-CA"/>
              </w:rPr>
            </w:pPr>
          </w:p>
        </w:tc>
        <w:tc>
          <w:tcPr>
            <w:tcW w:w="3579" w:type="dxa"/>
          </w:tcPr>
          <w:p w14:paraId="571724E9" w14:textId="3D9696DD"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 xml:space="preserve">Fonds de placement </w:t>
            </w:r>
          </w:p>
        </w:tc>
        <w:tc>
          <w:tcPr>
            <w:tcW w:w="2721" w:type="dxa"/>
            <w:vMerge/>
            <w:vAlign w:val="center"/>
          </w:tcPr>
          <w:p w14:paraId="2DEFED51" w14:textId="77777777" w:rsidR="00E87BAD" w:rsidRPr="00BA02FE" w:rsidRDefault="00E87BAD" w:rsidP="00EB13B1">
            <w:pPr>
              <w:jc w:val="center"/>
              <w:rPr>
                <w:noProof/>
                <w:sz w:val="20"/>
                <w:szCs w:val="20"/>
                <w:lang w:val="fr-CA"/>
              </w:rPr>
            </w:pPr>
          </w:p>
        </w:tc>
        <w:tc>
          <w:tcPr>
            <w:tcW w:w="2610" w:type="dxa"/>
            <w:vMerge/>
            <w:vAlign w:val="center"/>
          </w:tcPr>
          <w:p w14:paraId="686FFAC4" w14:textId="77777777" w:rsidR="00E87BAD" w:rsidRPr="00BA02FE" w:rsidRDefault="00E87BAD" w:rsidP="00EB13B1">
            <w:pPr>
              <w:rPr>
                <w:noProof/>
                <w:sz w:val="20"/>
                <w:szCs w:val="20"/>
                <w:lang w:val="fr-CA"/>
              </w:rPr>
            </w:pPr>
          </w:p>
        </w:tc>
      </w:tr>
      <w:tr w:rsidR="00E87BAD" w:rsidRPr="009D62BC" w14:paraId="2DB76618" w14:textId="77777777" w:rsidTr="005838F2">
        <w:tc>
          <w:tcPr>
            <w:tcW w:w="2160" w:type="dxa"/>
            <w:vMerge/>
          </w:tcPr>
          <w:p w14:paraId="70106E63" w14:textId="77777777" w:rsidR="00E87BAD" w:rsidRPr="00BA02FE" w:rsidRDefault="00E87BAD" w:rsidP="00E87BAD">
            <w:pPr>
              <w:pStyle w:val="ListParagraph"/>
              <w:numPr>
                <w:ilvl w:val="0"/>
                <w:numId w:val="11"/>
              </w:numPr>
              <w:rPr>
                <w:noProof/>
                <w:sz w:val="20"/>
                <w:szCs w:val="20"/>
                <w:lang w:val="fr-CA"/>
              </w:rPr>
            </w:pPr>
          </w:p>
        </w:tc>
        <w:tc>
          <w:tcPr>
            <w:tcW w:w="3579" w:type="dxa"/>
          </w:tcPr>
          <w:p w14:paraId="4167D083" w14:textId="4F993AA6"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Fonds en gestion commune</w:t>
            </w:r>
            <w:r w:rsidR="0017441B" w:rsidRPr="00BA02FE">
              <w:rPr>
                <w:noProof/>
                <w:sz w:val="20"/>
                <w:szCs w:val="20"/>
                <w:lang w:val="fr-CA"/>
              </w:rPr>
              <w:t xml:space="preserve"> (y compris les fonds de fonds)</w:t>
            </w:r>
          </w:p>
        </w:tc>
        <w:tc>
          <w:tcPr>
            <w:tcW w:w="2721" w:type="dxa"/>
            <w:vMerge/>
            <w:vAlign w:val="center"/>
          </w:tcPr>
          <w:p w14:paraId="46B717DE" w14:textId="77777777" w:rsidR="00E87BAD" w:rsidRPr="00BA02FE" w:rsidRDefault="00E87BAD" w:rsidP="00EB13B1">
            <w:pPr>
              <w:jc w:val="center"/>
              <w:rPr>
                <w:noProof/>
                <w:sz w:val="20"/>
                <w:szCs w:val="20"/>
                <w:lang w:val="fr-CA"/>
              </w:rPr>
            </w:pPr>
          </w:p>
        </w:tc>
        <w:tc>
          <w:tcPr>
            <w:tcW w:w="2610" w:type="dxa"/>
            <w:vMerge/>
            <w:vAlign w:val="center"/>
          </w:tcPr>
          <w:p w14:paraId="791B7729" w14:textId="77777777" w:rsidR="00E87BAD" w:rsidRPr="00BA02FE" w:rsidRDefault="00E87BAD" w:rsidP="00EB13B1">
            <w:pPr>
              <w:rPr>
                <w:noProof/>
                <w:sz w:val="20"/>
                <w:szCs w:val="20"/>
                <w:lang w:val="fr-CA"/>
              </w:rPr>
            </w:pPr>
          </w:p>
        </w:tc>
      </w:tr>
      <w:tr w:rsidR="00E87BAD" w:rsidRPr="00BA02FE" w14:paraId="07D2DBD2" w14:textId="77777777" w:rsidTr="005838F2">
        <w:tc>
          <w:tcPr>
            <w:tcW w:w="2160" w:type="dxa"/>
            <w:vMerge/>
          </w:tcPr>
          <w:p w14:paraId="6FD4667B" w14:textId="77777777" w:rsidR="00E87BAD" w:rsidRPr="00BA02FE" w:rsidRDefault="00E87BAD" w:rsidP="00E87BAD">
            <w:pPr>
              <w:pStyle w:val="ListParagraph"/>
              <w:numPr>
                <w:ilvl w:val="0"/>
                <w:numId w:val="11"/>
              </w:numPr>
              <w:rPr>
                <w:noProof/>
                <w:sz w:val="20"/>
                <w:szCs w:val="20"/>
                <w:lang w:val="fr-CA"/>
              </w:rPr>
            </w:pPr>
          </w:p>
        </w:tc>
        <w:tc>
          <w:tcPr>
            <w:tcW w:w="3579" w:type="dxa"/>
          </w:tcPr>
          <w:p w14:paraId="426C6CA0" w14:textId="68D16D62"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 xml:space="preserve">Fonds communs de fiducie </w:t>
            </w:r>
          </w:p>
        </w:tc>
        <w:tc>
          <w:tcPr>
            <w:tcW w:w="2721" w:type="dxa"/>
            <w:vMerge/>
            <w:vAlign w:val="center"/>
          </w:tcPr>
          <w:p w14:paraId="54901E59" w14:textId="77777777" w:rsidR="00E87BAD" w:rsidRPr="00BA02FE" w:rsidRDefault="00E87BAD" w:rsidP="00EB13B1">
            <w:pPr>
              <w:jc w:val="center"/>
              <w:rPr>
                <w:noProof/>
                <w:sz w:val="20"/>
                <w:szCs w:val="20"/>
                <w:lang w:val="fr-CA"/>
              </w:rPr>
            </w:pPr>
          </w:p>
        </w:tc>
        <w:tc>
          <w:tcPr>
            <w:tcW w:w="2610" w:type="dxa"/>
            <w:vMerge/>
            <w:vAlign w:val="center"/>
          </w:tcPr>
          <w:p w14:paraId="37E92F93" w14:textId="77777777" w:rsidR="00E87BAD" w:rsidRPr="00BA02FE" w:rsidRDefault="00E87BAD" w:rsidP="00EB13B1">
            <w:pPr>
              <w:rPr>
                <w:noProof/>
                <w:sz w:val="20"/>
                <w:szCs w:val="20"/>
                <w:lang w:val="fr-CA"/>
              </w:rPr>
            </w:pPr>
          </w:p>
        </w:tc>
      </w:tr>
      <w:tr w:rsidR="00E87BAD" w:rsidRPr="009D62BC" w14:paraId="14F066E8" w14:textId="77777777" w:rsidTr="005838F2">
        <w:tc>
          <w:tcPr>
            <w:tcW w:w="2160" w:type="dxa"/>
            <w:vMerge/>
          </w:tcPr>
          <w:p w14:paraId="3F47AA5B" w14:textId="77777777" w:rsidR="00E87BAD" w:rsidRPr="00BA02FE" w:rsidRDefault="00E87BAD" w:rsidP="00E87BAD">
            <w:pPr>
              <w:pStyle w:val="ListParagraph"/>
              <w:numPr>
                <w:ilvl w:val="0"/>
                <w:numId w:val="11"/>
              </w:numPr>
              <w:rPr>
                <w:noProof/>
                <w:sz w:val="20"/>
                <w:szCs w:val="20"/>
                <w:lang w:val="fr-CA"/>
              </w:rPr>
            </w:pPr>
          </w:p>
        </w:tc>
        <w:tc>
          <w:tcPr>
            <w:tcW w:w="3579" w:type="dxa"/>
          </w:tcPr>
          <w:p w14:paraId="3B5F3F33" w14:textId="0D22ED8B"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Véhicules à réplique indicielle (VRI)</w:t>
            </w:r>
          </w:p>
        </w:tc>
        <w:tc>
          <w:tcPr>
            <w:tcW w:w="2721" w:type="dxa"/>
            <w:vMerge/>
            <w:vAlign w:val="center"/>
          </w:tcPr>
          <w:p w14:paraId="50084EB5" w14:textId="77777777" w:rsidR="00E87BAD" w:rsidRPr="00BA02FE" w:rsidRDefault="00E87BAD" w:rsidP="00EB13B1">
            <w:pPr>
              <w:jc w:val="center"/>
              <w:rPr>
                <w:noProof/>
                <w:sz w:val="20"/>
                <w:szCs w:val="20"/>
                <w:lang w:val="fr-CA"/>
              </w:rPr>
            </w:pPr>
          </w:p>
        </w:tc>
        <w:tc>
          <w:tcPr>
            <w:tcW w:w="2610" w:type="dxa"/>
            <w:vMerge/>
            <w:vAlign w:val="center"/>
          </w:tcPr>
          <w:p w14:paraId="69C06505" w14:textId="77777777" w:rsidR="00E87BAD" w:rsidRPr="00BA02FE" w:rsidRDefault="00E87BAD" w:rsidP="00EB13B1">
            <w:pPr>
              <w:rPr>
                <w:noProof/>
                <w:sz w:val="20"/>
                <w:szCs w:val="20"/>
                <w:lang w:val="fr-CA"/>
              </w:rPr>
            </w:pPr>
          </w:p>
        </w:tc>
      </w:tr>
      <w:tr w:rsidR="00E87BAD" w:rsidRPr="00BA02FE" w14:paraId="3B6CFA44" w14:textId="77777777" w:rsidTr="005838F2">
        <w:tc>
          <w:tcPr>
            <w:tcW w:w="2160" w:type="dxa"/>
            <w:vMerge/>
          </w:tcPr>
          <w:p w14:paraId="65A88FF2" w14:textId="77777777" w:rsidR="00E87BAD" w:rsidRPr="00BA02FE" w:rsidRDefault="00E87BAD" w:rsidP="00E87BAD">
            <w:pPr>
              <w:pStyle w:val="ListParagraph"/>
              <w:numPr>
                <w:ilvl w:val="0"/>
                <w:numId w:val="11"/>
              </w:numPr>
              <w:rPr>
                <w:noProof/>
                <w:sz w:val="20"/>
                <w:szCs w:val="20"/>
                <w:lang w:val="fr-CA"/>
              </w:rPr>
            </w:pPr>
          </w:p>
        </w:tc>
        <w:tc>
          <w:tcPr>
            <w:tcW w:w="3579" w:type="dxa"/>
          </w:tcPr>
          <w:p w14:paraId="0EA72390" w14:textId="211BEBC3"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Fonds fermés d’actions (FFA)</w:t>
            </w:r>
          </w:p>
        </w:tc>
        <w:tc>
          <w:tcPr>
            <w:tcW w:w="2721" w:type="dxa"/>
            <w:vAlign w:val="center"/>
          </w:tcPr>
          <w:p w14:paraId="3D0C0D53" w14:textId="15FF600E"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126803F8" w14:textId="77777777" w:rsidR="00E87BAD" w:rsidRPr="00BA02FE" w:rsidRDefault="00E87BAD" w:rsidP="00EB13B1">
            <w:pPr>
              <w:rPr>
                <w:noProof/>
                <w:sz w:val="20"/>
                <w:szCs w:val="20"/>
                <w:lang w:val="fr-CA"/>
              </w:rPr>
            </w:pPr>
          </w:p>
        </w:tc>
      </w:tr>
      <w:tr w:rsidR="00E87BAD" w:rsidRPr="00BA02FE" w14:paraId="306D750F" w14:textId="77777777" w:rsidTr="005838F2">
        <w:tc>
          <w:tcPr>
            <w:tcW w:w="2160" w:type="dxa"/>
            <w:vMerge/>
          </w:tcPr>
          <w:p w14:paraId="5EC9CCE1" w14:textId="77777777" w:rsidR="00E87BAD" w:rsidRPr="00BA02FE" w:rsidRDefault="00E87BAD" w:rsidP="00E87BAD">
            <w:pPr>
              <w:pStyle w:val="ListParagraph"/>
              <w:numPr>
                <w:ilvl w:val="0"/>
                <w:numId w:val="11"/>
              </w:numPr>
              <w:rPr>
                <w:noProof/>
                <w:sz w:val="20"/>
                <w:szCs w:val="20"/>
                <w:lang w:val="fr-CA"/>
              </w:rPr>
            </w:pPr>
          </w:p>
        </w:tc>
        <w:tc>
          <w:tcPr>
            <w:tcW w:w="3579" w:type="dxa"/>
          </w:tcPr>
          <w:p w14:paraId="7EC5CD32" w14:textId="4AAF254F"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FNB d’actions</w:t>
            </w:r>
          </w:p>
        </w:tc>
        <w:tc>
          <w:tcPr>
            <w:tcW w:w="2721" w:type="dxa"/>
            <w:vAlign w:val="center"/>
          </w:tcPr>
          <w:p w14:paraId="055DE1DE" w14:textId="75E8C318"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7DAEA7EF" w14:textId="77777777" w:rsidR="00E87BAD" w:rsidRPr="00BA02FE" w:rsidRDefault="00E87BAD" w:rsidP="00EB13B1">
            <w:pPr>
              <w:rPr>
                <w:noProof/>
                <w:sz w:val="20"/>
                <w:szCs w:val="20"/>
                <w:lang w:val="fr-CA"/>
              </w:rPr>
            </w:pPr>
          </w:p>
        </w:tc>
      </w:tr>
      <w:tr w:rsidR="00E87BAD" w:rsidRPr="00BA02FE" w14:paraId="4A371FB5" w14:textId="77777777" w:rsidTr="005838F2">
        <w:tc>
          <w:tcPr>
            <w:tcW w:w="2160" w:type="dxa"/>
            <w:vMerge/>
          </w:tcPr>
          <w:p w14:paraId="72309664" w14:textId="77777777" w:rsidR="00E87BAD" w:rsidRPr="00BA02FE" w:rsidRDefault="00E87BAD" w:rsidP="00E87BAD">
            <w:pPr>
              <w:pStyle w:val="ListParagraph"/>
              <w:numPr>
                <w:ilvl w:val="0"/>
                <w:numId w:val="11"/>
              </w:numPr>
              <w:rPr>
                <w:noProof/>
                <w:sz w:val="20"/>
                <w:szCs w:val="20"/>
                <w:lang w:val="fr-CA"/>
              </w:rPr>
            </w:pPr>
          </w:p>
        </w:tc>
        <w:tc>
          <w:tcPr>
            <w:tcW w:w="3579" w:type="dxa"/>
          </w:tcPr>
          <w:p w14:paraId="4D066147" w14:textId="0F097E6F"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Fonds négociés sur plateforme (FNP)</w:t>
            </w:r>
          </w:p>
        </w:tc>
        <w:tc>
          <w:tcPr>
            <w:tcW w:w="2721" w:type="dxa"/>
            <w:vAlign w:val="center"/>
          </w:tcPr>
          <w:p w14:paraId="08CED0D1" w14:textId="3E49A27C"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012D843F" w14:textId="77777777" w:rsidR="00E87BAD" w:rsidRPr="00BA02FE" w:rsidRDefault="00E87BAD" w:rsidP="00EB13B1">
            <w:pPr>
              <w:rPr>
                <w:noProof/>
                <w:sz w:val="20"/>
                <w:szCs w:val="20"/>
                <w:lang w:val="fr-CA"/>
              </w:rPr>
            </w:pPr>
          </w:p>
        </w:tc>
      </w:tr>
      <w:tr w:rsidR="00E87BAD" w:rsidRPr="00BA02FE" w14:paraId="643C3AD3" w14:textId="77777777" w:rsidTr="005838F2">
        <w:tc>
          <w:tcPr>
            <w:tcW w:w="2160" w:type="dxa"/>
          </w:tcPr>
          <w:p w14:paraId="3FC82CC9" w14:textId="6FEC2C11"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Titres adossés à des actifs (TAA)</w:t>
            </w:r>
          </w:p>
        </w:tc>
        <w:tc>
          <w:tcPr>
            <w:tcW w:w="3579" w:type="dxa"/>
          </w:tcPr>
          <w:p w14:paraId="7D6AEBA4" w14:textId="3EFB8412" w:rsidR="00E87BAD" w:rsidRPr="00BA02FE" w:rsidRDefault="00E87BAD" w:rsidP="00E87BAD">
            <w:pPr>
              <w:rPr>
                <w:noProof/>
                <w:sz w:val="20"/>
                <w:szCs w:val="20"/>
                <w:lang w:val="fr-CA"/>
              </w:rPr>
            </w:pPr>
            <w:r w:rsidRPr="00BA02FE">
              <w:rPr>
                <w:noProof/>
                <w:sz w:val="20"/>
                <w:szCs w:val="20"/>
                <w:lang w:val="fr-CA"/>
              </w:rPr>
              <w:t>Comprennent les titres adossés à des créances hypothécaires (TACH), les obligations adossées à des créances (OAC) et tout autre produit attirant un facteur de regroupement issu d’un remboursement itératif et continu du capital.</w:t>
            </w:r>
          </w:p>
        </w:tc>
        <w:tc>
          <w:tcPr>
            <w:tcW w:w="2721" w:type="dxa"/>
            <w:vAlign w:val="center"/>
          </w:tcPr>
          <w:p w14:paraId="09DEDD81" w14:textId="5795A2B4"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45E45922" w14:textId="45A14201" w:rsidR="00E87BAD" w:rsidRPr="00BA02FE" w:rsidRDefault="00E87BAD" w:rsidP="00EB13B1">
            <w:pPr>
              <w:rPr>
                <w:noProof/>
                <w:sz w:val="20"/>
                <w:szCs w:val="20"/>
                <w:lang w:val="fr-CA"/>
              </w:rPr>
            </w:pPr>
          </w:p>
        </w:tc>
      </w:tr>
      <w:tr w:rsidR="00E87BAD" w:rsidRPr="009D62BC" w14:paraId="5FD39731" w14:textId="77777777" w:rsidTr="005838F2">
        <w:tc>
          <w:tcPr>
            <w:tcW w:w="2160" w:type="dxa"/>
          </w:tcPr>
          <w:p w14:paraId="75A9A9CF" w14:textId="3DDB4ADA"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Certificats de placement garantis non encaissables (CPG)</w:t>
            </w:r>
          </w:p>
        </w:tc>
        <w:tc>
          <w:tcPr>
            <w:tcW w:w="3579" w:type="dxa"/>
          </w:tcPr>
          <w:p w14:paraId="3C2C361A" w14:textId="29085FD9" w:rsidR="00E87BAD" w:rsidRPr="00BA02FE" w:rsidRDefault="00E87BAD" w:rsidP="00E87BAD">
            <w:pPr>
              <w:pStyle w:val="ListParagraph"/>
              <w:numPr>
                <w:ilvl w:val="0"/>
                <w:numId w:val="9"/>
              </w:numPr>
              <w:rPr>
                <w:noProof/>
                <w:sz w:val="20"/>
                <w:szCs w:val="20"/>
                <w:lang w:val="fr-CA"/>
              </w:rPr>
            </w:pPr>
            <w:r w:rsidRPr="00BA02FE">
              <w:rPr>
                <w:noProof/>
                <w:sz w:val="20"/>
                <w:szCs w:val="20"/>
                <w:lang w:val="fr-CA"/>
              </w:rPr>
              <w:t>Tous les CPG liquides (remboursables) figureront dans la catégorie des équivalents de liquidités, et tous les CPG non liquides seront alignés dans cette sous-catégorie dans celle des titres à revenu fixe.</w:t>
            </w:r>
          </w:p>
          <w:p w14:paraId="072454D2" w14:textId="63BAEFA9" w:rsidR="00E87BAD" w:rsidRPr="00BA02FE" w:rsidRDefault="00E87BAD" w:rsidP="00E87BAD">
            <w:pPr>
              <w:pStyle w:val="ListParagraph"/>
              <w:numPr>
                <w:ilvl w:val="0"/>
                <w:numId w:val="9"/>
              </w:numPr>
              <w:rPr>
                <w:noProof/>
                <w:sz w:val="20"/>
                <w:szCs w:val="20"/>
                <w:lang w:val="fr-CA"/>
              </w:rPr>
            </w:pPr>
            <w:r w:rsidRPr="00BA02FE">
              <w:rPr>
                <w:noProof/>
                <w:sz w:val="20"/>
                <w:szCs w:val="20"/>
                <w:lang w:val="fr-CA"/>
              </w:rPr>
              <w:t>CPG liés au marché</w:t>
            </w:r>
          </w:p>
        </w:tc>
        <w:tc>
          <w:tcPr>
            <w:tcW w:w="2721" w:type="dxa"/>
          </w:tcPr>
          <w:p w14:paraId="5F5B442F" w14:textId="2E9358DC" w:rsidR="00E87BAD" w:rsidRPr="00BA02FE" w:rsidRDefault="00E87BAD" w:rsidP="00EB13B1">
            <w:pPr>
              <w:jc w:val="center"/>
              <w:rPr>
                <w:bCs/>
                <w:noProof/>
                <w:sz w:val="20"/>
                <w:szCs w:val="20"/>
                <w:lang w:val="fr-CA"/>
              </w:rPr>
            </w:pPr>
            <w:r w:rsidRPr="00BA02FE">
              <w:rPr>
                <w:bCs/>
                <w:noProof/>
                <w:sz w:val="20"/>
                <w:szCs w:val="20"/>
                <w:lang w:val="fr-CA"/>
              </w:rPr>
              <w:t>NON</w:t>
            </w:r>
          </w:p>
          <w:p w14:paraId="0421E60A" w14:textId="77777777" w:rsidR="00E87BAD" w:rsidRPr="00BA02FE" w:rsidRDefault="00E87BAD" w:rsidP="00EB13B1">
            <w:pPr>
              <w:jc w:val="center"/>
              <w:rPr>
                <w:bCs/>
                <w:noProof/>
                <w:sz w:val="20"/>
                <w:szCs w:val="20"/>
                <w:lang w:val="fr-CA"/>
              </w:rPr>
            </w:pPr>
          </w:p>
          <w:p w14:paraId="6B73529E" w14:textId="2A97C946" w:rsidR="00E87BAD" w:rsidRPr="00BA02FE" w:rsidRDefault="00E87BAD" w:rsidP="00EB13B1">
            <w:pPr>
              <w:jc w:val="center"/>
              <w:rPr>
                <w:bCs/>
                <w:noProof/>
                <w:sz w:val="20"/>
                <w:szCs w:val="20"/>
                <w:lang w:val="fr-CA"/>
              </w:rPr>
            </w:pPr>
          </w:p>
          <w:p w14:paraId="1C115A8C" w14:textId="77777777" w:rsidR="00EB13B1" w:rsidRPr="00BA02FE" w:rsidRDefault="00EB13B1" w:rsidP="00EB13B1">
            <w:pPr>
              <w:jc w:val="center"/>
              <w:rPr>
                <w:bCs/>
                <w:noProof/>
                <w:sz w:val="20"/>
                <w:szCs w:val="20"/>
                <w:lang w:val="fr-CA"/>
              </w:rPr>
            </w:pPr>
          </w:p>
          <w:p w14:paraId="13775787" w14:textId="77777777" w:rsidR="00E87BAD" w:rsidRPr="00BA02FE" w:rsidRDefault="00E87BAD" w:rsidP="00EB13B1">
            <w:pPr>
              <w:jc w:val="center"/>
              <w:rPr>
                <w:bCs/>
                <w:noProof/>
                <w:sz w:val="20"/>
                <w:szCs w:val="20"/>
                <w:lang w:val="fr-CA"/>
              </w:rPr>
            </w:pPr>
          </w:p>
          <w:p w14:paraId="2A787587" w14:textId="77777777" w:rsidR="00E87BAD" w:rsidRPr="00BA02FE" w:rsidRDefault="00E87BAD" w:rsidP="00EB13B1">
            <w:pPr>
              <w:jc w:val="center"/>
              <w:rPr>
                <w:bCs/>
                <w:noProof/>
                <w:sz w:val="20"/>
                <w:szCs w:val="20"/>
                <w:lang w:val="fr-CA"/>
              </w:rPr>
            </w:pPr>
          </w:p>
          <w:p w14:paraId="6859DBF2" w14:textId="77777777" w:rsidR="00E87BAD" w:rsidRPr="00BA02FE" w:rsidRDefault="00E87BAD" w:rsidP="00EB13B1">
            <w:pPr>
              <w:jc w:val="center"/>
              <w:rPr>
                <w:bCs/>
                <w:noProof/>
                <w:sz w:val="20"/>
                <w:szCs w:val="20"/>
                <w:lang w:val="fr-CA"/>
              </w:rPr>
            </w:pPr>
          </w:p>
          <w:p w14:paraId="2820F79A" w14:textId="3F6FF561"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66073633" w14:textId="2D060B01" w:rsidR="00E87BAD" w:rsidRPr="00BA02FE" w:rsidRDefault="00E87BAD" w:rsidP="00EB13B1">
            <w:pPr>
              <w:rPr>
                <w:noProof/>
                <w:sz w:val="20"/>
                <w:szCs w:val="20"/>
                <w:lang w:val="fr-CA"/>
              </w:rPr>
            </w:pPr>
            <w:r w:rsidRPr="00BA02FE">
              <w:rPr>
                <w:noProof/>
                <w:sz w:val="20"/>
                <w:szCs w:val="20"/>
                <w:lang w:val="fr-CA"/>
              </w:rPr>
              <w:t xml:space="preserve">Les instruments de CPG ne se négocient pas actuellement sur la base d’un règlement sur deux jours et ne seront donc pas touchés par le passage à T+1. </w:t>
            </w:r>
          </w:p>
          <w:p w14:paraId="69C9050C" w14:textId="16D2D2C2" w:rsidR="00E87BAD" w:rsidRPr="00BA02FE" w:rsidRDefault="00E87BAD" w:rsidP="00EB13B1">
            <w:pPr>
              <w:rPr>
                <w:b/>
                <w:noProof/>
                <w:sz w:val="20"/>
                <w:szCs w:val="20"/>
                <w:lang w:val="fr-CA"/>
              </w:rPr>
            </w:pPr>
            <w:r w:rsidRPr="00BA02FE">
              <w:rPr>
                <w:b/>
                <w:bCs/>
                <w:noProof/>
                <w:sz w:val="20"/>
                <w:szCs w:val="20"/>
                <w:lang w:val="fr-CA"/>
              </w:rPr>
              <w:t>Note</w:t>
            </w:r>
            <w:r w:rsidRPr="00BA02FE">
              <w:rPr>
                <w:noProof/>
                <w:sz w:val="20"/>
                <w:szCs w:val="20"/>
                <w:lang w:val="fr-CA"/>
              </w:rPr>
              <w:t xml:space="preserve"> : Les CPG liés au marché devraient être réglés à T+1 s’ils sont actuellement réglés à T+2.</w:t>
            </w:r>
          </w:p>
        </w:tc>
      </w:tr>
      <w:tr w:rsidR="00E87BAD" w:rsidRPr="009D62BC" w14:paraId="19E65C46" w14:textId="77777777" w:rsidTr="005838F2">
        <w:tc>
          <w:tcPr>
            <w:tcW w:w="2160" w:type="dxa"/>
          </w:tcPr>
          <w:p w14:paraId="535C19FA" w14:textId="5A5A84C7"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Obligations coupons détachés, coupons et résidus</w:t>
            </w:r>
          </w:p>
        </w:tc>
        <w:tc>
          <w:tcPr>
            <w:tcW w:w="3579" w:type="dxa"/>
          </w:tcPr>
          <w:p w14:paraId="0F5D6A3C" w14:textId="2B25FDF1" w:rsidR="00E87BAD" w:rsidRPr="00BA02FE" w:rsidRDefault="00E87BAD" w:rsidP="00E87BAD">
            <w:pPr>
              <w:rPr>
                <w:noProof/>
                <w:sz w:val="20"/>
                <w:szCs w:val="20"/>
                <w:lang w:val="fr-CA"/>
              </w:rPr>
            </w:pPr>
            <w:r w:rsidRPr="00BA02FE">
              <w:rPr>
                <w:noProof/>
                <w:sz w:val="20"/>
                <w:szCs w:val="20"/>
                <w:lang w:val="fr-CA"/>
              </w:rPr>
              <w:t>Toute partie d’intérêt ou partie non fondée sur le capital d’une obligation qui peut être séparée et est séparée du produit obligataire initialement offert et vendue séparément.</w:t>
            </w:r>
          </w:p>
        </w:tc>
        <w:tc>
          <w:tcPr>
            <w:tcW w:w="2721" w:type="dxa"/>
            <w:vAlign w:val="center"/>
          </w:tcPr>
          <w:p w14:paraId="0DC12E2E" w14:textId="7FBB8229"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47155EE5" w14:textId="1CB1A9A4" w:rsidR="00E87BAD" w:rsidRPr="00BA02FE" w:rsidRDefault="00790125"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0277CD1F" w14:textId="77777777" w:rsidTr="005838F2">
        <w:trPr>
          <w:trHeight w:val="476"/>
        </w:trPr>
        <w:tc>
          <w:tcPr>
            <w:tcW w:w="2160" w:type="dxa"/>
          </w:tcPr>
          <w:p w14:paraId="356E9E2E" w14:textId="57CB5A12"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Autres produits de revenu fixe</w:t>
            </w:r>
          </w:p>
        </w:tc>
        <w:tc>
          <w:tcPr>
            <w:tcW w:w="3579" w:type="dxa"/>
          </w:tcPr>
          <w:p w14:paraId="6FB71FC1" w14:textId="38C5571C" w:rsidR="00E87BAD" w:rsidRPr="00BA02FE" w:rsidRDefault="00E87BAD" w:rsidP="00E87BAD">
            <w:pPr>
              <w:rPr>
                <w:noProof/>
                <w:sz w:val="20"/>
                <w:szCs w:val="20"/>
                <w:lang w:val="fr-CA"/>
              </w:rPr>
            </w:pPr>
            <w:r w:rsidRPr="00BA02FE">
              <w:rPr>
                <w:i/>
                <w:noProof/>
                <w:sz w:val="20"/>
                <w:szCs w:val="20"/>
                <w:lang w:val="fr-CA"/>
              </w:rPr>
              <w:t>Espace pour tout produit nouveau ou non identifié</w:t>
            </w:r>
          </w:p>
        </w:tc>
        <w:tc>
          <w:tcPr>
            <w:tcW w:w="2721" w:type="dxa"/>
            <w:vAlign w:val="center"/>
          </w:tcPr>
          <w:p w14:paraId="5F4A0F2B" w14:textId="77777777" w:rsidR="00E87BAD" w:rsidRPr="00BA02FE" w:rsidRDefault="00E87BAD" w:rsidP="00EB13B1">
            <w:pPr>
              <w:jc w:val="center"/>
              <w:rPr>
                <w:noProof/>
                <w:sz w:val="20"/>
                <w:szCs w:val="20"/>
                <w:lang w:val="fr-CA"/>
              </w:rPr>
            </w:pPr>
          </w:p>
        </w:tc>
        <w:tc>
          <w:tcPr>
            <w:tcW w:w="2610" w:type="dxa"/>
            <w:vAlign w:val="center"/>
          </w:tcPr>
          <w:p w14:paraId="3734DFBB" w14:textId="77777777" w:rsidR="00E87BAD" w:rsidRPr="00BA02FE" w:rsidRDefault="00E87BAD" w:rsidP="00EB13B1">
            <w:pPr>
              <w:rPr>
                <w:noProof/>
                <w:sz w:val="20"/>
                <w:szCs w:val="20"/>
                <w:lang w:val="fr-CA"/>
              </w:rPr>
            </w:pPr>
          </w:p>
        </w:tc>
      </w:tr>
      <w:tr w:rsidR="00E87BAD" w:rsidRPr="00BA02FE" w14:paraId="5A9E3DEF" w14:textId="77777777" w:rsidTr="005838F2">
        <w:tc>
          <w:tcPr>
            <w:tcW w:w="11070" w:type="dxa"/>
            <w:gridSpan w:val="4"/>
            <w:vAlign w:val="center"/>
          </w:tcPr>
          <w:p w14:paraId="4904DCFA" w14:textId="4E523AF1" w:rsidR="00E87BAD" w:rsidRPr="00BA02FE" w:rsidRDefault="00E87BAD" w:rsidP="00FA791E">
            <w:pPr>
              <w:keepNext/>
              <w:keepLines/>
              <w:jc w:val="center"/>
              <w:rPr>
                <w:b/>
                <w:noProof/>
                <w:sz w:val="24"/>
                <w:szCs w:val="24"/>
                <w:lang w:val="fr-CA"/>
              </w:rPr>
            </w:pPr>
            <w:r w:rsidRPr="00BA02FE">
              <w:rPr>
                <w:b/>
                <w:noProof/>
                <w:color w:val="FF0000"/>
                <w:sz w:val="24"/>
                <w:szCs w:val="24"/>
                <w:lang w:val="fr-CA"/>
              </w:rPr>
              <w:t>Actions privilégiées</w:t>
            </w:r>
          </w:p>
        </w:tc>
      </w:tr>
      <w:tr w:rsidR="00E87BAD" w:rsidRPr="009D62BC" w14:paraId="5BF0F127" w14:textId="77777777" w:rsidTr="005838F2">
        <w:trPr>
          <w:trHeight w:val="485"/>
        </w:trPr>
        <w:tc>
          <w:tcPr>
            <w:tcW w:w="2160" w:type="dxa"/>
          </w:tcPr>
          <w:p w14:paraId="03BAE5E0" w14:textId="0651BDC0"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Actions privilégiées</w:t>
            </w:r>
          </w:p>
        </w:tc>
        <w:tc>
          <w:tcPr>
            <w:tcW w:w="3579" w:type="dxa"/>
          </w:tcPr>
          <w:p w14:paraId="34117301" w14:textId="20AE9A58" w:rsidR="00E87BAD" w:rsidRPr="00BA02FE" w:rsidRDefault="00E87BAD" w:rsidP="00E87BAD">
            <w:pPr>
              <w:rPr>
                <w:noProof/>
                <w:sz w:val="20"/>
                <w:szCs w:val="20"/>
                <w:lang w:val="fr-CA"/>
              </w:rPr>
            </w:pPr>
            <w:r w:rsidRPr="00BA02FE">
              <w:rPr>
                <w:noProof/>
                <w:sz w:val="20"/>
                <w:szCs w:val="20"/>
                <w:lang w:val="fr-CA"/>
              </w:rPr>
              <w:t xml:space="preserve">Actions de société dont les dividendes sont distribués aux actionnaires avant le versement des dividendes des actions ordinaires. En cas de faillite de la société, les actionnaires d’actions privilégiées ont le droit de percevoir en premier les actifs de la société. Les actions privilégiées versent généralement un dividende fixe, contrairement aux actions ordinaires. À </w:t>
            </w:r>
            <w:r w:rsidRPr="00BA02FE">
              <w:rPr>
                <w:noProof/>
                <w:sz w:val="20"/>
                <w:szCs w:val="20"/>
                <w:lang w:val="fr-CA"/>
              </w:rPr>
              <w:lastRenderedPageBreak/>
              <w:t>la différence des actionnaires ordinaires, les actionnaires privilégiés ne disposent généralement pas de droits de vote.</w:t>
            </w:r>
          </w:p>
        </w:tc>
        <w:tc>
          <w:tcPr>
            <w:tcW w:w="2721" w:type="dxa"/>
            <w:vAlign w:val="center"/>
          </w:tcPr>
          <w:p w14:paraId="1C75C2C9" w14:textId="6B2DD569" w:rsidR="00E87BAD" w:rsidRPr="00BA02FE" w:rsidRDefault="00E87BAD" w:rsidP="00EB13B1">
            <w:pPr>
              <w:jc w:val="center"/>
              <w:rPr>
                <w:b/>
                <w:noProof/>
                <w:sz w:val="20"/>
                <w:szCs w:val="20"/>
                <w:lang w:val="fr-CA"/>
              </w:rPr>
            </w:pPr>
            <w:r w:rsidRPr="00BA02FE">
              <w:rPr>
                <w:b/>
                <w:noProof/>
                <w:sz w:val="20"/>
                <w:szCs w:val="20"/>
                <w:lang w:val="fr-CA"/>
              </w:rPr>
              <w:lastRenderedPageBreak/>
              <w:t>OUI</w:t>
            </w:r>
          </w:p>
        </w:tc>
        <w:tc>
          <w:tcPr>
            <w:tcW w:w="2610" w:type="dxa"/>
            <w:vAlign w:val="center"/>
          </w:tcPr>
          <w:p w14:paraId="6CBE4F31" w14:textId="26065F24"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36B764F2" w14:textId="77777777" w:rsidTr="005838F2">
        <w:tc>
          <w:tcPr>
            <w:tcW w:w="2160" w:type="dxa"/>
          </w:tcPr>
          <w:p w14:paraId="456043CD" w14:textId="4C7286B1"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Actions privilégiées convertibles</w:t>
            </w:r>
          </w:p>
        </w:tc>
        <w:tc>
          <w:tcPr>
            <w:tcW w:w="3579" w:type="dxa"/>
          </w:tcPr>
          <w:p w14:paraId="1915F920" w14:textId="2D8DEC31" w:rsidR="00E87BAD" w:rsidRPr="00BA02FE" w:rsidRDefault="00E87BAD" w:rsidP="00E87BAD">
            <w:pPr>
              <w:rPr>
                <w:noProof/>
                <w:sz w:val="20"/>
                <w:szCs w:val="20"/>
                <w:lang w:val="fr-CA"/>
              </w:rPr>
            </w:pPr>
            <w:r w:rsidRPr="00BA02FE">
              <w:rPr>
                <w:noProof/>
                <w:sz w:val="20"/>
                <w:szCs w:val="20"/>
                <w:lang w:val="fr-CA"/>
              </w:rPr>
              <w:t>Une action privilégiée dotée de la fonction de conversion doit rester une sous-catégorie d’action privilégiée jusqu’à la date où la conversion est exercée (et si elle l’est), date à laquelle la participation qui en résulte figurera sous la sous-catégorie appropriée pour le titre détenu après la conversion.</w:t>
            </w:r>
          </w:p>
        </w:tc>
        <w:tc>
          <w:tcPr>
            <w:tcW w:w="2721" w:type="dxa"/>
            <w:vAlign w:val="center"/>
          </w:tcPr>
          <w:p w14:paraId="7B02F871" w14:textId="56CA33B3"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3C02139E" w14:textId="65AF7819"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BA02FE" w14:paraId="3EA4D954" w14:textId="77777777" w:rsidTr="005838F2">
        <w:tc>
          <w:tcPr>
            <w:tcW w:w="11070" w:type="dxa"/>
            <w:gridSpan w:val="4"/>
            <w:vAlign w:val="center"/>
          </w:tcPr>
          <w:p w14:paraId="34A87BDF" w14:textId="54B8C864" w:rsidR="00E87BAD" w:rsidRPr="00BA02FE" w:rsidRDefault="00E87BAD" w:rsidP="00FA791E">
            <w:pPr>
              <w:jc w:val="center"/>
              <w:rPr>
                <w:noProof/>
                <w:sz w:val="20"/>
                <w:szCs w:val="20"/>
                <w:lang w:val="fr-CA"/>
              </w:rPr>
            </w:pPr>
            <w:r w:rsidRPr="00BA02FE">
              <w:rPr>
                <w:b/>
                <w:noProof/>
                <w:color w:val="FF0000"/>
                <w:sz w:val="24"/>
                <w:szCs w:val="24"/>
                <w:lang w:val="fr-CA"/>
              </w:rPr>
              <w:t>Actions</w:t>
            </w:r>
          </w:p>
        </w:tc>
      </w:tr>
      <w:tr w:rsidR="00E87BAD" w:rsidRPr="009D62BC" w14:paraId="79E95471" w14:textId="77777777" w:rsidTr="005838F2">
        <w:tc>
          <w:tcPr>
            <w:tcW w:w="2160" w:type="dxa"/>
          </w:tcPr>
          <w:p w14:paraId="553231A6" w14:textId="783E5FD1"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Actions ordinaires</w:t>
            </w:r>
          </w:p>
        </w:tc>
        <w:tc>
          <w:tcPr>
            <w:tcW w:w="3579" w:type="dxa"/>
          </w:tcPr>
          <w:p w14:paraId="01A787BF" w14:textId="2224A83D" w:rsidR="00E87BAD" w:rsidRPr="00BA02FE" w:rsidRDefault="00E87BAD" w:rsidP="00E87BAD">
            <w:pPr>
              <w:rPr>
                <w:noProof/>
                <w:sz w:val="20"/>
                <w:szCs w:val="20"/>
                <w:lang w:val="fr-CA"/>
              </w:rPr>
            </w:pPr>
            <w:r w:rsidRPr="00BA02FE">
              <w:rPr>
                <w:noProof/>
                <w:sz w:val="20"/>
                <w:szCs w:val="20"/>
                <w:lang w:val="fr-CA"/>
              </w:rPr>
              <w:t>Actions ordinaires standard du secteur où la part représente un pourcentage de la propriété d’une société.</w:t>
            </w:r>
          </w:p>
        </w:tc>
        <w:tc>
          <w:tcPr>
            <w:tcW w:w="2721" w:type="dxa"/>
            <w:vAlign w:val="center"/>
          </w:tcPr>
          <w:p w14:paraId="130F6715" w14:textId="4B8D3349"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50F2490D" w14:textId="368C3521" w:rsidR="00E87BAD" w:rsidRPr="00BA02FE" w:rsidRDefault="003A51E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78CB7BEF" w14:textId="77777777" w:rsidTr="005838F2">
        <w:tc>
          <w:tcPr>
            <w:tcW w:w="2160" w:type="dxa"/>
            <w:vMerge w:val="restart"/>
          </w:tcPr>
          <w:p w14:paraId="07597DF9" w14:textId="5FB267CB"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Fonds d’actions</w:t>
            </w:r>
          </w:p>
        </w:tc>
        <w:tc>
          <w:tcPr>
            <w:tcW w:w="3579" w:type="dxa"/>
          </w:tcPr>
          <w:p w14:paraId="0F4263F2" w14:textId="5CC2EE91" w:rsidR="00E87BAD" w:rsidRPr="00BA02FE" w:rsidRDefault="00E87BAD" w:rsidP="00E87BAD">
            <w:pPr>
              <w:rPr>
                <w:noProof/>
                <w:sz w:val="20"/>
                <w:szCs w:val="20"/>
                <w:lang w:val="fr-CA"/>
              </w:rPr>
            </w:pPr>
            <w:r w:rsidRPr="00BA02FE">
              <w:rPr>
                <w:noProof/>
                <w:sz w:val="20"/>
                <w:szCs w:val="20"/>
                <w:lang w:val="fr-CA"/>
              </w:rPr>
              <w:t>Comprennent:</w:t>
            </w:r>
          </w:p>
        </w:tc>
        <w:tc>
          <w:tcPr>
            <w:tcW w:w="2721" w:type="dxa"/>
            <w:vMerge w:val="restart"/>
            <w:vAlign w:val="center"/>
          </w:tcPr>
          <w:p w14:paraId="0100EE05" w14:textId="6FBE5D74" w:rsidR="00E87BAD" w:rsidRPr="000D611B" w:rsidRDefault="0017441B" w:rsidP="00EB13B1">
            <w:pPr>
              <w:jc w:val="center"/>
              <w:rPr>
                <w:noProof/>
                <w:sz w:val="20"/>
                <w:szCs w:val="20"/>
                <w:lang w:val="fr-CA"/>
              </w:rPr>
            </w:pPr>
            <w:r w:rsidRPr="000D611B">
              <w:rPr>
                <w:b/>
                <w:bCs/>
                <w:noProof/>
                <w:sz w:val="20"/>
                <w:szCs w:val="20"/>
                <w:lang w:val="fr-CA"/>
              </w:rPr>
              <w:t>En cours d</w:t>
            </w:r>
            <w:r w:rsidR="00C32502" w:rsidRPr="000D611B">
              <w:rPr>
                <w:b/>
                <w:bCs/>
                <w:noProof/>
                <w:sz w:val="20"/>
                <w:szCs w:val="20"/>
                <w:lang w:val="fr-CA"/>
              </w:rPr>
              <w:t>’</w:t>
            </w:r>
            <w:r w:rsidRPr="000D611B">
              <w:rPr>
                <w:b/>
                <w:bCs/>
                <w:noProof/>
                <w:sz w:val="20"/>
                <w:szCs w:val="20"/>
                <w:lang w:val="fr-CA"/>
              </w:rPr>
              <w:t>examen par le secteur des fonds communs de placement</w:t>
            </w:r>
            <w:r w:rsidR="00E87BAD" w:rsidRPr="000D611B">
              <w:rPr>
                <w:b/>
                <w:bCs/>
                <w:noProof/>
                <w:sz w:val="20"/>
                <w:szCs w:val="20"/>
                <w:lang w:val="fr-CA"/>
              </w:rPr>
              <w:t>; consulter le tableau distinct des fonds ci-dessous</w:t>
            </w:r>
          </w:p>
        </w:tc>
        <w:tc>
          <w:tcPr>
            <w:tcW w:w="2610" w:type="dxa"/>
            <w:vMerge w:val="restart"/>
            <w:vAlign w:val="center"/>
          </w:tcPr>
          <w:p w14:paraId="1BB7E4A6" w14:textId="7AAC7D82" w:rsidR="00E87BAD" w:rsidRPr="000D611B" w:rsidRDefault="00E87BAD" w:rsidP="00EB13B1">
            <w:pPr>
              <w:rPr>
                <w:b/>
                <w:bCs/>
                <w:noProof/>
                <w:sz w:val="20"/>
                <w:szCs w:val="20"/>
                <w:lang w:val="fr-CA"/>
              </w:rPr>
            </w:pPr>
            <w:r w:rsidRPr="000D611B">
              <w:rPr>
                <w:b/>
                <w:bCs/>
                <w:noProof/>
                <w:sz w:val="20"/>
                <w:szCs w:val="20"/>
                <w:lang w:val="fr-CA"/>
              </w:rPr>
              <w:t>Consulter le tableau distinct des fonds ci-dessous</w:t>
            </w:r>
          </w:p>
        </w:tc>
      </w:tr>
      <w:tr w:rsidR="00E87BAD" w:rsidRPr="009D62BC" w14:paraId="35A9D270" w14:textId="77777777" w:rsidTr="005838F2">
        <w:trPr>
          <w:trHeight w:val="206"/>
        </w:trPr>
        <w:tc>
          <w:tcPr>
            <w:tcW w:w="2160" w:type="dxa"/>
            <w:vMerge/>
          </w:tcPr>
          <w:p w14:paraId="315E7E0B" w14:textId="77777777" w:rsidR="00E87BAD" w:rsidRPr="00BA02FE" w:rsidRDefault="00E87BAD" w:rsidP="00E87BAD">
            <w:pPr>
              <w:pStyle w:val="ListParagraph"/>
              <w:numPr>
                <w:ilvl w:val="0"/>
                <w:numId w:val="11"/>
              </w:numPr>
              <w:rPr>
                <w:noProof/>
                <w:sz w:val="20"/>
                <w:szCs w:val="20"/>
                <w:lang w:val="fr-CA"/>
              </w:rPr>
            </w:pPr>
          </w:p>
        </w:tc>
        <w:tc>
          <w:tcPr>
            <w:tcW w:w="3579" w:type="dxa"/>
          </w:tcPr>
          <w:p w14:paraId="111631C2" w14:textId="1C015217"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Fonds communs de placement en actions</w:t>
            </w:r>
          </w:p>
        </w:tc>
        <w:tc>
          <w:tcPr>
            <w:tcW w:w="2721" w:type="dxa"/>
            <w:vMerge/>
            <w:vAlign w:val="center"/>
          </w:tcPr>
          <w:p w14:paraId="1B7F9713" w14:textId="77777777" w:rsidR="00E87BAD" w:rsidRPr="00BA02FE" w:rsidRDefault="00E87BAD" w:rsidP="00EB13B1">
            <w:pPr>
              <w:jc w:val="center"/>
              <w:rPr>
                <w:noProof/>
                <w:sz w:val="20"/>
                <w:szCs w:val="20"/>
                <w:lang w:val="fr-CA"/>
              </w:rPr>
            </w:pPr>
          </w:p>
        </w:tc>
        <w:tc>
          <w:tcPr>
            <w:tcW w:w="2610" w:type="dxa"/>
            <w:vMerge/>
            <w:vAlign w:val="center"/>
          </w:tcPr>
          <w:p w14:paraId="08D38534" w14:textId="77777777" w:rsidR="00E87BAD" w:rsidRPr="00BA02FE" w:rsidRDefault="00E87BAD" w:rsidP="00EB13B1">
            <w:pPr>
              <w:rPr>
                <w:noProof/>
                <w:sz w:val="20"/>
                <w:szCs w:val="20"/>
                <w:lang w:val="fr-CA"/>
              </w:rPr>
            </w:pPr>
          </w:p>
        </w:tc>
      </w:tr>
      <w:tr w:rsidR="00E87BAD" w:rsidRPr="009D62BC" w14:paraId="281EAE32" w14:textId="77777777" w:rsidTr="005838F2">
        <w:tc>
          <w:tcPr>
            <w:tcW w:w="2160" w:type="dxa"/>
            <w:vMerge/>
          </w:tcPr>
          <w:p w14:paraId="4EFAF584" w14:textId="77777777" w:rsidR="00E87BAD" w:rsidRPr="00BA02FE" w:rsidRDefault="00E87BAD" w:rsidP="00E87BAD">
            <w:pPr>
              <w:pStyle w:val="ListParagraph"/>
              <w:numPr>
                <w:ilvl w:val="0"/>
                <w:numId w:val="11"/>
              </w:numPr>
              <w:rPr>
                <w:noProof/>
                <w:sz w:val="20"/>
                <w:szCs w:val="20"/>
                <w:lang w:val="fr-CA"/>
              </w:rPr>
            </w:pPr>
          </w:p>
        </w:tc>
        <w:tc>
          <w:tcPr>
            <w:tcW w:w="3579" w:type="dxa"/>
          </w:tcPr>
          <w:p w14:paraId="0CA9B933" w14:textId="56289B60"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Véhicules à réplique indicielle sur les actions</w:t>
            </w:r>
          </w:p>
        </w:tc>
        <w:tc>
          <w:tcPr>
            <w:tcW w:w="2721" w:type="dxa"/>
            <w:vMerge/>
            <w:vAlign w:val="center"/>
          </w:tcPr>
          <w:p w14:paraId="663290BF" w14:textId="77777777" w:rsidR="00E87BAD" w:rsidRPr="00BA02FE" w:rsidRDefault="00E87BAD" w:rsidP="00EB13B1">
            <w:pPr>
              <w:jc w:val="center"/>
              <w:rPr>
                <w:noProof/>
                <w:sz w:val="20"/>
                <w:szCs w:val="20"/>
                <w:lang w:val="fr-CA"/>
              </w:rPr>
            </w:pPr>
          </w:p>
        </w:tc>
        <w:tc>
          <w:tcPr>
            <w:tcW w:w="2610" w:type="dxa"/>
            <w:vMerge/>
            <w:vAlign w:val="center"/>
          </w:tcPr>
          <w:p w14:paraId="3CE7EA92" w14:textId="77777777" w:rsidR="00E87BAD" w:rsidRPr="00BA02FE" w:rsidRDefault="00E87BAD" w:rsidP="00EB13B1">
            <w:pPr>
              <w:rPr>
                <w:noProof/>
                <w:sz w:val="20"/>
                <w:szCs w:val="20"/>
                <w:lang w:val="fr-CA"/>
              </w:rPr>
            </w:pPr>
          </w:p>
        </w:tc>
      </w:tr>
      <w:tr w:rsidR="00E87BAD" w:rsidRPr="00BA02FE" w14:paraId="2828D3A5" w14:textId="77777777" w:rsidTr="005838F2">
        <w:tc>
          <w:tcPr>
            <w:tcW w:w="2160" w:type="dxa"/>
            <w:vMerge/>
          </w:tcPr>
          <w:p w14:paraId="3C0D6EC2" w14:textId="77777777" w:rsidR="00E87BAD" w:rsidRPr="00BA02FE" w:rsidRDefault="00E87BAD" w:rsidP="00E87BAD">
            <w:pPr>
              <w:pStyle w:val="ListParagraph"/>
              <w:numPr>
                <w:ilvl w:val="0"/>
                <w:numId w:val="11"/>
              </w:numPr>
              <w:rPr>
                <w:noProof/>
                <w:sz w:val="20"/>
                <w:szCs w:val="20"/>
                <w:lang w:val="fr-CA"/>
              </w:rPr>
            </w:pPr>
          </w:p>
        </w:tc>
        <w:tc>
          <w:tcPr>
            <w:tcW w:w="3579" w:type="dxa"/>
          </w:tcPr>
          <w:p w14:paraId="6A5EE3F6" w14:textId="3D6529CD"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Fonds fermés d’actions (FFA)</w:t>
            </w:r>
          </w:p>
        </w:tc>
        <w:tc>
          <w:tcPr>
            <w:tcW w:w="2721" w:type="dxa"/>
            <w:vAlign w:val="center"/>
          </w:tcPr>
          <w:p w14:paraId="555C4C40" w14:textId="19DE9E6B" w:rsidR="00E87BAD" w:rsidRPr="00BA02FE" w:rsidRDefault="00E87BAD" w:rsidP="00EB13B1">
            <w:pPr>
              <w:jc w:val="center"/>
              <w:rPr>
                <w:noProof/>
                <w:sz w:val="20"/>
                <w:szCs w:val="20"/>
                <w:lang w:val="fr-CA"/>
              </w:rPr>
            </w:pPr>
            <w:r w:rsidRPr="00BA02FE">
              <w:rPr>
                <w:b/>
                <w:noProof/>
                <w:sz w:val="20"/>
                <w:szCs w:val="20"/>
                <w:lang w:val="fr-CA"/>
              </w:rPr>
              <w:t>OUI</w:t>
            </w:r>
          </w:p>
        </w:tc>
        <w:tc>
          <w:tcPr>
            <w:tcW w:w="2610" w:type="dxa"/>
            <w:vAlign w:val="center"/>
          </w:tcPr>
          <w:p w14:paraId="50E62511" w14:textId="77777777" w:rsidR="00E87BAD" w:rsidRPr="00BA02FE" w:rsidRDefault="00E87BAD" w:rsidP="00EB13B1">
            <w:pPr>
              <w:rPr>
                <w:noProof/>
                <w:sz w:val="20"/>
                <w:szCs w:val="20"/>
                <w:lang w:val="fr-CA"/>
              </w:rPr>
            </w:pPr>
          </w:p>
        </w:tc>
      </w:tr>
      <w:tr w:rsidR="00E87BAD" w:rsidRPr="00BA02FE" w14:paraId="77D030EA" w14:textId="77777777" w:rsidTr="005838F2">
        <w:tc>
          <w:tcPr>
            <w:tcW w:w="2160" w:type="dxa"/>
            <w:vMerge/>
          </w:tcPr>
          <w:p w14:paraId="414C2BF2" w14:textId="77777777" w:rsidR="00E87BAD" w:rsidRPr="00BA02FE" w:rsidRDefault="00E87BAD" w:rsidP="00E87BAD">
            <w:pPr>
              <w:pStyle w:val="ListParagraph"/>
              <w:numPr>
                <w:ilvl w:val="0"/>
                <w:numId w:val="11"/>
              </w:numPr>
              <w:rPr>
                <w:noProof/>
                <w:sz w:val="20"/>
                <w:szCs w:val="20"/>
                <w:lang w:val="fr-CA"/>
              </w:rPr>
            </w:pPr>
          </w:p>
        </w:tc>
        <w:tc>
          <w:tcPr>
            <w:tcW w:w="3579" w:type="dxa"/>
          </w:tcPr>
          <w:p w14:paraId="223EB5F0" w14:textId="1034F82D"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FNB d’actions</w:t>
            </w:r>
          </w:p>
        </w:tc>
        <w:tc>
          <w:tcPr>
            <w:tcW w:w="2721" w:type="dxa"/>
            <w:vAlign w:val="center"/>
          </w:tcPr>
          <w:p w14:paraId="5AD6758D" w14:textId="2E408597" w:rsidR="00E87BAD" w:rsidRPr="00BA02FE" w:rsidRDefault="00E87BAD" w:rsidP="00EB13B1">
            <w:pPr>
              <w:jc w:val="center"/>
              <w:rPr>
                <w:noProof/>
                <w:sz w:val="20"/>
                <w:szCs w:val="20"/>
                <w:lang w:val="fr-CA"/>
              </w:rPr>
            </w:pPr>
            <w:r w:rsidRPr="00BA02FE">
              <w:rPr>
                <w:b/>
                <w:noProof/>
                <w:sz w:val="20"/>
                <w:szCs w:val="20"/>
                <w:lang w:val="fr-CA"/>
              </w:rPr>
              <w:t>OUI</w:t>
            </w:r>
          </w:p>
        </w:tc>
        <w:tc>
          <w:tcPr>
            <w:tcW w:w="2610" w:type="dxa"/>
            <w:vAlign w:val="center"/>
          </w:tcPr>
          <w:p w14:paraId="7068995B" w14:textId="77777777" w:rsidR="00E87BAD" w:rsidRPr="00BA02FE" w:rsidRDefault="00E87BAD" w:rsidP="00EB13B1">
            <w:pPr>
              <w:rPr>
                <w:noProof/>
                <w:sz w:val="20"/>
                <w:szCs w:val="20"/>
                <w:lang w:val="fr-CA"/>
              </w:rPr>
            </w:pPr>
          </w:p>
        </w:tc>
      </w:tr>
      <w:tr w:rsidR="00E87BAD" w:rsidRPr="00BA02FE" w14:paraId="45C2C9C6" w14:textId="77777777" w:rsidTr="005838F2">
        <w:tc>
          <w:tcPr>
            <w:tcW w:w="2160" w:type="dxa"/>
            <w:vMerge/>
          </w:tcPr>
          <w:p w14:paraId="08F180C4" w14:textId="77777777" w:rsidR="00E87BAD" w:rsidRPr="00BA02FE" w:rsidRDefault="00E87BAD" w:rsidP="00E87BAD">
            <w:pPr>
              <w:pStyle w:val="ListParagraph"/>
              <w:numPr>
                <w:ilvl w:val="0"/>
                <w:numId w:val="11"/>
              </w:numPr>
              <w:rPr>
                <w:noProof/>
                <w:sz w:val="20"/>
                <w:szCs w:val="20"/>
                <w:lang w:val="fr-CA"/>
              </w:rPr>
            </w:pPr>
          </w:p>
        </w:tc>
        <w:tc>
          <w:tcPr>
            <w:tcW w:w="3579" w:type="dxa"/>
          </w:tcPr>
          <w:p w14:paraId="33E58724" w14:textId="383E78A1"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Fonds négociés sur plateforme (FNP)</w:t>
            </w:r>
          </w:p>
        </w:tc>
        <w:tc>
          <w:tcPr>
            <w:tcW w:w="2721" w:type="dxa"/>
            <w:vAlign w:val="center"/>
          </w:tcPr>
          <w:p w14:paraId="077E42CE" w14:textId="7BBBA5DD" w:rsidR="00E87BAD" w:rsidRPr="00BA02FE" w:rsidRDefault="00E87BAD" w:rsidP="00EB13B1">
            <w:pPr>
              <w:jc w:val="center"/>
              <w:rPr>
                <w:noProof/>
                <w:sz w:val="20"/>
                <w:szCs w:val="20"/>
                <w:lang w:val="fr-CA"/>
              </w:rPr>
            </w:pPr>
            <w:r w:rsidRPr="00BA02FE">
              <w:rPr>
                <w:b/>
                <w:noProof/>
                <w:sz w:val="20"/>
                <w:szCs w:val="20"/>
                <w:lang w:val="fr-CA"/>
              </w:rPr>
              <w:t>OUI</w:t>
            </w:r>
          </w:p>
        </w:tc>
        <w:tc>
          <w:tcPr>
            <w:tcW w:w="2610" w:type="dxa"/>
            <w:vAlign w:val="center"/>
          </w:tcPr>
          <w:p w14:paraId="11D57A55" w14:textId="77777777" w:rsidR="00E87BAD" w:rsidRPr="00BA02FE" w:rsidRDefault="00E87BAD" w:rsidP="00EB13B1">
            <w:pPr>
              <w:rPr>
                <w:noProof/>
                <w:sz w:val="20"/>
                <w:szCs w:val="20"/>
                <w:lang w:val="fr-CA"/>
              </w:rPr>
            </w:pPr>
          </w:p>
        </w:tc>
      </w:tr>
      <w:tr w:rsidR="00E87BAD" w:rsidRPr="009D62BC" w14:paraId="2DCA96FD" w14:textId="77777777" w:rsidTr="005838F2">
        <w:tc>
          <w:tcPr>
            <w:tcW w:w="2160" w:type="dxa"/>
          </w:tcPr>
          <w:p w14:paraId="5CC381ED" w14:textId="172DF2CA"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Droits</w:t>
            </w:r>
          </w:p>
        </w:tc>
        <w:tc>
          <w:tcPr>
            <w:tcW w:w="3579" w:type="dxa"/>
          </w:tcPr>
          <w:p w14:paraId="535C487F" w14:textId="6EDD9CCC" w:rsidR="00E87BAD" w:rsidRPr="00BA02FE" w:rsidRDefault="00E87BAD" w:rsidP="00E87BAD">
            <w:pPr>
              <w:rPr>
                <w:noProof/>
                <w:sz w:val="20"/>
                <w:szCs w:val="20"/>
                <w:lang w:val="fr-CA"/>
              </w:rPr>
            </w:pPr>
            <w:r w:rsidRPr="00BA02FE">
              <w:rPr>
                <w:noProof/>
                <w:sz w:val="20"/>
                <w:szCs w:val="20"/>
                <w:lang w:val="fr-CA"/>
              </w:rPr>
              <w:t>Certificats permettant au propriétaire d’acheter un certain nombre d’actions ou, plus fréquemment, une fraction d’action nouvelle de l’émetteur à un prix spécifique.</w:t>
            </w:r>
          </w:p>
        </w:tc>
        <w:tc>
          <w:tcPr>
            <w:tcW w:w="2721" w:type="dxa"/>
            <w:vAlign w:val="center"/>
          </w:tcPr>
          <w:p w14:paraId="16562374" w14:textId="0BD83878"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019AE187" w14:textId="3BEBB0F3"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654FDA94" w14:textId="77777777" w:rsidTr="005838F2">
        <w:tc>
          <w:tcPr>
            <w:tcW w:w="2160" w:type="dxa"/>
          </w:tcPr>
          <w:p w14:paraId="500F426D" w14:textId="4E8B7B41"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Bons de souscription</w:t>
            </w:r>
          </w:p>
        </w:tc>
        <w:tc>
          <w:tcPr>
            <w:tcW w:w="3579" w:type="dxa"/>
          </w:tcPr>
          <w:p w14:paraId="74741EC2" w14:textId="417A1C26" w:rsidR="00E87BAD" w:rsidRPr="00BA02FE" w:rsidRDefault="00E87BAD" w:rsidP="00E87BAD">
            <w:pPr>
              <w:rPr>
                <w:noProof/>
                <w:sz w:val="20"/>
                <w:szCs w:val="20"/>
                <w:lang w:val="fr-CA"/>
              </w:rPr>
            </w:pPr>
            <w:r w:rsidRPr="00BA02FE">
              <w:rPr>
                <w:noProof/>
                <w:sz w:val="20"/>
                <w:szCs w:val="20"/>
                <w:lang w:val="fr-CA"/>
              </w:rPr>
              <w:t>Titres qui confèrent au détenteur le droit d’acheter des titres (généralement des actions) de l’émetteur à un prix spécifique dans un délai donné.</w:t>
            </w:r>
          </w:p>
        </w:tc>
        <w:tc>
          <w:tcPr>
            <w:tcW w:w="2721" w:type="dxa"/>
            <w:vAlign w:val="center"/>
          </w:tcPr>
          <w:p w14:paraId="25CCE1D4" w14:textId="295A52C7"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4000447A" w14:textId="34D8C3F5" w:rsidR="00E87BAD" w:rsidRPr="00BA02FE" w:rsidRDefault="00E87BAD" w:rsidP="00EB13B1">
            <w:pPr>
              <w:rPr>
                <w:noProof/>
                <w:sz w:val="20"/>
                <w:szCs w:val="20"/>
                <w:lang w:val="fr-CA"/>
              </w:rPr>
            </w:pPr>
            <w:r w:rsidRPr="00BA02FE">
              <w:rPr>
                <w:noProof/>
                <w:sz w:val="20"/>
                <w:szCs w:val="20"/>
                <w:lang w:val="fr-CA"/>
              </w:rPr>
              <w:t xml:space="preserve">Toute transaction se négociant actuellement à T+2 passera à T+1. Les transactions actuelles soumises à des « conditions spéciales » demeureront inchangées. </w:t>
            </w:r>
          </w:p>
        </w:tc>
      </w:tr>
      <w:tr w:rsidR="00E87BAD" w:rsidRPr="009D62BC" w14:paraId="71FAC070" w14:textId="77777777" w:rsidTr="005838F2">
        <w:tc>
          <w:tcPr>
            <w:tcW w:w="2160" w:type="dxa"/>
          </w:tcPr>
          <w:p w14:paraId="43814CF0" w14:textId="6F65DDB6"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Parts</w:t>
            </w:r>
          </w:p>
        </w:tc>
        <w:tc>
          <w:tcPr>
            <w:tcW w:w="3579" w:type="dxa"/>
          </w:tcPr>
          <w:p w14:paraId="52715F9D" w14:textId="16BF75CE" w:rsidR="00E87BAD" w:rsidRPr="00BA02FE" w:rsidRDefault="00E87BAD" w:rsidP="00E87BAD">
            <w:pPr>
              <w:rPr>
                <w:noProof/>
                <w:sz w:val="20"/>
                <w:szCs w:val="20"/>
                <w:lang w:val="fr-CA"/>
              </w:rPr>
            </w:pPr>
            <w:r w:rsidRPr="00BA02FE">
              <w:rPr>
                <w:noProof/>
                <w:sz w:val="20"/>
                <w:szCs w:val="20"/>
                <w:lang w:val="fr-CA"/>
              </w:rPr>
              <w:t>Représentent les produits vendus sous forme d’« unité », ce qui englobe les actions et les bons de souscription groupés, etc.</w:t>
            </w:r>
          </w:p>
        </w:tc>
        <w:tc>
          <w:tcPr>
            <w:tcW w:w="2721" w:type="dxa"/>
            <w:vAlign w:val="center"/>
          </w:tcPr>
          <w:p w14:paraId="626DEE5D" w14:textId="09265E15"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2E5E47F1" w14:textId="14BD2A0D"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32D89004" w14:textId="77777777" w:rsidTr="005838F2">
        <w:tc>
          <w:tcPr>
            <w:tcW w:w="2160" w:type="dxa"/>
          </w:tcPr>
          <w:p w14:paraId="3BB58B5D" w14:textId="4826FBCF"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 xml:space="preserve">Parts de fiducie </w:t>
            </w:r>
          </w:p>
        </w:tc>
        <w:tc>
          <w:tcPr>
            <w:tcW w:w="3579" w:type="dxa"/>
          </w:tcPr>
          <w:p w14:paraId="3EB0403C" w14:textId="67C9DB99" w:rsidR="00E87BAD" w:rsidRPr="00BA02FE" w:rsidRDefault="00E87BAD" w:rsidP="00E87BAD">
            <w:pPr>
              <w:rPr>
                <w:noProof/>
                <w:sz w:val="20"/>
                <w:szCs w:val="20"/>
                <w:lang w:val="fr-CA"/>
              </w:rPr>
            </w:pPr>
            <w:r w:rsidRPr="00BA02FE">
              <w:rPr>
                <w:noProof/>
                <w:sz w:val="20"/>
                <w:szCs w:val="20"/>
                <w:lang w:val="fr-CA"/>
              </w:rPr>
              <w:t>Toutes les unités structurées selon un acte de fiducie, à l’exclusion des fonds de placement immobilier (FPI), ces derniers figurant dans une sous-catégorie unique.</w:t>
            </w:r>
          </w:p>
        </w:tc>
        <w:tc>
          <w:tcPr>
            <w:tcW w:w="2721" w:type="dxa"/>
            <w:vAlign w:val="center"/>
          </w:tcPr>
          <w:p w14:paraId="0A9D0249" w14:textId="1FF4118A"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446D5EBF" w14:textId="3802EC2C" w:rsidR="00E87BAD" w:rsidRPr="00BA02FE" w:rsidRDefault="00E87BAD" w:rsidP="00EB13B1">
            <w:pPr>
              <w:rPr>
                <w:noProof/>
                <w:sz w:val="20"/>
                <w:szCs w:val="20"/>
                <w:lang w:val="fr-CA"/>
              </w:rPr>
            </w:pPr>
            <w:r w:rsidRPr="00BA02FE">
              <w:rPr>
                <w:noProof/>
                <w:sz w:val="20"/>
                <w:szCs w:val="20"/>
                <w:lang w:val="fr-CA"/>
              </w:rPr>
              <w:t xml:space="preserve">Toute transaction se négociant actuellement à T+2 passera à T+1. Les transactions actuelles soumises à des « conditions </w:t>
            </w:r>
            <w:r w:rsidRPr="00BA02FE">
              <w:rPr>
                <w:noProof/>
                <w:sz w:val="20"/>
                <w:szCs w:val="20"/>
                <w:lang w:val="fr-CA"/>
              </w:rPr>
              <w:lastRenderedPageBreak/>
              <w:t>spéciales » demeureront inchangées.</w:t>
            </w:r>
          </w:p>
        </w:tc>
      </w:tr>
      <w:tr w:rsidR="00E87BAD" w:rsidRPr="009D62BC" w14:paraId="0F2AE7B2" w14:textId="77777777" w:rsidTr="005838F2">
        <w:tc>
          <w:tcPr>
            <w:tcW w:w="2160" w:type="dxa"/>
          </w:tcPr>
          <w:p w14:paraId="3919BFFF" w14:textId="220A1232"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lastRenderedPageBreak/>
              <w:t>Parts de société en commandite (PSC)</w:t>
            </w:r>
          </w:p>
        </w:tc>
        <w:tc>
          <w:tcPr>
            <w:tcW w:w="3579" w:type="dxa"/>
          </w:tcPr>
          <w:p w14:paraId="2BE76B9C" w14:textId="5FB6EBD3" w:rsidR="00E87BAD" w:rsidRPr="00BA02FE" w:rsidRDefault="00E87BAD" w:rsidP="00E87BAD">
            <w:pPr>
              <w:rPr>
                <w:noProof/>
                <w:sz w:val="20"/>
                <w:szCs w:val="20"/>
                <w:lang w:val="fr-CA"/>
              </w:rPr>
            </w:pPr>
            <w:r w:rsidRPr="00BA02FE">
              <w:rPr>
                <w:noProof/>
                <w:sz w:val="20"/>
                <w:szCs w:val="20"/>
                <w:lang w:val="fr-CA"/>
              </w:rPr>
              <w:t>Parts de propriété d’une société en commandite cotée en bourse ou d’une société en commandite principale (SECP) qui procurent au porteur de parts une participation aux revenus produits par la société en commandite.</w:t>
            </w:r>
          </w:p>
        </w:tc>
        <w:tc>
          <w:tcPr>
            <w:tcW w:w="2721" w:type="dxa"/>
            <w:vAlign w:val="center"/>
          </w:tcPr>
          <w:p w14:paraId="68180E92" w14:textId="7151A0AA"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7DF3DB24" w14:textId="617BA9E0"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2486BE88" w14:textId="77777777" w:rsidTr="005838F2">
        <w:tc>
          <w:tcPr>
            <w:tcW w:w="2160" w:type="dxa"/>
          </w:tcPr>
          <w:p w14:paraId="7C0755A0" w14:textId="1FB0607F"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Reçus d’acomptes provisionnels</w:t>
            </w:r>
          </w:p>
        </w:tc>
        <w:tc>
          <w:tcPr>
            <w:tcW w:w="3579" w:type="dxa"/>
          </w:tcPr>
          <w:p w14:paraId="406CE3A5" w14:textId="04E3920C" w:rsidR="00E87BAD" w:rsidRPr="00BA02FE" w:rsidRDefault="00E87BAD" w:rsidP="00E87BAD">
            <w:pPr>
              <w:rPr>
                <w:noProof/>
                <w:sz w:val="20"/>
                <w:szCs w:val="20"/>
                <w:lang w:val="fr-CA"/>
              </w:rPr>
            </w:pPr>
            <w:r w:rsidRPr="00BA02FE">
              <w:rPr>
                <w:noProof/>
                <w:sz w:val="20"/>
                <w:szCs w:val="20"/>
                <w:lang w:val="fr-CA"/>
              </w:rPr>
              <w:t>Émissions d’actions pour lesquelles l’acheteur ne paie pas la valeur totale de l’émission au départ. Dans le cadre de l’achat d’un certificat échelonné, un versement initial est remis à l’émetteur à la clôture de l’émission; le solde doit être payé en plusieurs versements. Si l’acheteur n’a pas payé la valeur totale de l’émission, il bénéficie néanmoins de l’intégralité des droits de vote et des dividendes.</w:t>
            </w:r>
          </w:p>
        </w:tc>
        <w:tc>
          <w:tcPr>
            <w:tcW w:w="2721" w:type="dxa"/>
            <w:vAlign w:val="center"/>
          </w:tcPr>
          <w:p w14:paraId="2C6608FC" w14:textId="638D892D"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61736F6E" w14:textId="6030D814"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5E2A91A8" w14:textId="77777777" w:rsidTr="005838F2">
        <w:tc>
          <w:tcPr>
            <w:tcW w:w="2160" w:type="dxa"/>
          </w:tcPr>
          <w:p w14:paraId="60482CA3" w14:textId="14EC9466"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Reçus de souscription</w:t>
            </w:r>
          </w:p>
        </w:tc>
        <w:tc>
          <w:tcPr>
            <w:tcW w:w="3579" w:type="dxa"/>
          </w:tcPr>
          <w:p w14:paraId="4BE5631F" w14:textId="6E76BE0D" w:rsidR="00E87BAD" w:rsidRPr="00BA02FE" w:rsidRDefault="00E87BAD" w:rsidP="00E87BAD">
            <w:pPr>
              <w:rPr>
                <w:noProof/>
                <w:sz w:val="20"/>
                <w:szCs w:val="20"/>
                <w:lang w:val="fr-CA"/>
              </w:rPr>
            </w:pPr>
            <w:r w:rsidRPr="00BA02FE">
              <w:rPr>
                <w:noProof/>
                <w:sz w:val="20"/>
                <w:szCs w:val="20"/>
                <w:lang w:val="fr-CA"/>
              </w:rPr>
              <w:t>Actions qui confèrent le droit (mais non l’obligation) à un échange contre des actions ordinaires d’une société à un cours prédéterminé et dans un délai déterminé, tout en conférant simultanément le droit à un dividende avant l’échange.</w:t>
            </w:r>
          </w:p>
        </w:tc>
        <w:tc>
          <w:tcPr>
            <w:tcW w:w="2721" w:type="dxa"/>
            <w:vAlign w:val="center"/>
          </w:tcPr>
          <w:p w14:paraId="3A188A68" w14:textId="47D46115"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5A829212" w14:textId="4CDE7213"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017EA24E" w14:textId="77777777" w:rsidTr="005838F2">
        <w:tc>
          <w:tcPr>
            <w:tcW w:w="2160" w:type="dxa"/>
          </w:tcPr>
          <w:p w14:paraId="0A60EEAF" w14:textId="1C311756"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Certificats de dépôt canadiens (CDC)</w:t>
            </w:r>
          </w:p>
        </w:tc>
        <w:tc>
          <w:tcPr>
            <w:tcW w:w="3579" w:type="dxa"/>
          </w:tcPr>
          <w:p w14:paraId="43B17495" w14:textId="2108299C" w:rsidR="00E87BAD" w:rsidRPr="00BA02FE" w:rsidRDefault="00E87BAD" w:rsidP="00E87BAD">
            <w:pPr>
              <w:rPr>
                <w:noProof/>
                <w:sz w:val="20"/>
                <w:szCs w:val="20"/>
                <w:lang w:val="fr-CA"/>
              </w:rPr>
            </w:pPr>
            <w:r w:rsidRPr="00BA02FE">
              <w:rPr>
                <w:noProof/>
                <w:sz w:val="20"/>
                <w:szCs w:val="20"/>
                <w:lang w:val="fr-CA"/>
              </w:rPr>
              <w:t>Comparables aux certificats de dépôt américains (ADR), titres qui offrent une exposition aux actions de sociétés mondiales, mais qui se négocient en dollars canadiens sur une bourse canadienne.</w:t>
            </w:r>
          </w:p>
        </w:tc>
        <w:tc>
          <w:tcPr>
            <w:tcW w:w="2721" w:type="dxa"/>
            <w:vAlign w:val="center"/>
          </w:tcPr>
          <w:p w14:paraId="09D25D23" w14:textId="022027FF"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tcPr>
          <w:p w14:paraId="664BB57E" w14:textId="37A761D2" w:rsidR="00E87BAD" w:rsidRPr="00BA02FE" w:rsidRDefault="00444327" w:rsidP="00263F8C">
            <w:pPr>
              <w:rPr>
                <w:noProof/>
                <w:sz w:val="20"/>
                <w:szCs w:val="20"/>
                <w:lang w:val="fr-CA"/>
              </w:rPr>
            </w:pPr>
            <w:r w:rsidRPr="00BA02FE">
              <w:rPr>
                <w:noProof/>
                <w:sz w:val="20"/>
                <w:szCs w:val="20"/>
                <w:lang w:val="fr-CA"/>
              </w:rPr>
              <w:t xml:space="preserve">Remarque : </w:t>
            </w:r>
            <w:r w:rsidR="00E87BAD" w:rsidRPr="00BA02FE">
              <w:rPr>
                <w:noProof/>
                <w:sz w:val="20"/>
                <w:szCs w:val="20"/>
                <w:lang w:val="fr-CA"/>
              </w:rPr>
              <w:t>Ce produit nouveau, négocié sur NEO, n’est actuellement émis que par un seul émetteur.</w:t>
            </w:r>
          </w:p>
        </w:tc>
      </w:tr>
      <w:tr w:rsidR="00E87BAD" w:rsidRPr="009D62BC" w14:paraId="56FBF1B3" w14:textId="77777777" w:rsidTr="005838F2">
        <w:tc>
          <w:tcPr>
            <w:tcW w:w="2160" w:type="dxa"/>
          </w:tcPr>
          <w:p w14:paraId="2222C10F" w14:textId="5F4A6625"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Fonds de placement immobilier (FPI)</w:t>
            </w:r>
          </w:p>
        </w:tc>
        <w:tc>
          <w:tcPr>
            <w:tcW w:w="3579" w:type="dxa"/>
          </w:tcPr>
          <w:p w14:paraId="2A552CED" w14:textId="6F086E3B" w:rsidR="00E87BAD" w:rsidRPr="00BA02FE" w:rsidRDefault="00E87BAD" w:rsidP="00E87BAD">
            <w:pPr>
              <w:rPr>
                <w:noProof/>
                <w:sz w:val="20"/>
                <w:szCs w:val="20"/>
                <w:lang w:val="fr-CA"/>
              </w:rPr>
            </w:pPr>
            <w:r w:rsidRPr="00BA02FE">
              <w:rPr>
                <w:noProof/>
                <w:sz w:val="20"/>
                <w:szCs w:val="20"/>
                <w:lang w:val="fr-CA"/>
              </w:rPr>
              <w:t>Véhicules de placement similaires à un fonds commun de placement (unité de fiducie). Les FPI emploient le capital regroupé de plusieurs investisseurs pour consentir des prêts hypothécaires aux constructeurs ou aux promoteurs, ou pour investir directement dans des biens immobiliers générateurs de revenus qui procurent des avantages fiscaux en sus des intérêts et des gains en capital.</w:t>
            </w:r>
          </w:p>
        </w:tc>
        <w:tc>
          <w:tcPr>
            <w:tcW w:w="2721" w:type="dxa"/>
            <w:vAlign w:val="center"/>
          </w:tcPr>
          <w:p w14:paraId="20A936B9" w14:textId="26AB1F88"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tcPr>
          <w:p w14:paraId="16A51AA5" w14:textId="4ABA4812" w:rsidR="00E87BAD" w:rsidRPr="00BA02FE" w:rsidRDefault="00E87BAD" w:rsidP="00263F8C">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63CE243C" w14:textId="77777777" w:rsidTr="005838F2">
        <w:tc>
          <w:tcPr>
            <w:tcW w:w="2160" w:type="dxa"/>
          </w:tcPr>
          <w:p w14:paraId="1A743DFD" w14:textId="5E5737D7"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Actions accréditives</w:t>
            </w:r>
          </w:p>
        </w:tc>
        <w:tc>
          <w:tcPr>
            <w:tcW w:w="3579" w:type="dxa"/>
          </w:tcPr>
          <w:p w14:paraId="787AE434" w14:textId="0676FEE6" w:rsidR="00E87BAD" w:rsidRPr="00BA02FE" w:rsidRDefault="00E87BAD" w:rsidP="00E87BAD">
            <w:pPr>
              <w:rPr>
                <w:noProof/>
                <w:sz w:val="20"/>
                <w:szCs w:val="20"/>
                <w:lang w:val="fr-CA"/>
              </w:rPr>
            </w:pPr>
            <w:r w:rsidRPr="00BA02FE">
              <w:rPr>
                <w:noProof/>
                <w:sz w:val="20"/>
                <w:szCs w:val="20"/>
                <w:lang w:val="fr-CA"/>
              </w:rPr>
              <w:t>Une action accréditive est une catégorie d’action ordinaire permettant à une « société commerciale principale » de céder les déductions fiscales aux investisseurs, lesquels pourront les appliquer sur leur impôt sur le revenu des particuliers ou des sociétés.</w:t>
            </w:r>
          </w:p>
        </w:tc>
        <w:tc>
          <w:tcPr>
            <w:tcW w:w="2721" w:type="dxa"/>
            <w:vAlign w:val="center"/>
          </w:tcPr>
          <w:p w14:paraId="1D91A22B" w14:textId="0DE5593D" w:rsidR="00E87BAD" w:rsidRPr="00BA02FE" w:rsidRDefault="00E87BAD" w:rsidP="00EB13B1">
            <w:pPr>
              <w:jc w:val="center"/>
              <w:rPr>
                <w:b/>
                <w:noProof/>
                <w:sz w:val="20"/>
                <w:szCs w:val="20"/>
                <w:lang w:val="fr-CA"/>
              </w:rPr>
            </w:pPr>
            <w:r w:rsidRPr="00BA02FE">
              <w:rPr>
                <w:b/>
                <w:noProof/>
                <w:sz w:val="20"/>
                <w:szCs w:val="20"/>
                <w:lang w:val="fr-CA"/>
              </w:rPr>
              <w:t>OUI</w:t>
            </w:r>
          </w:p>
        </w:tc>
        <w:tc>
          <w:tcPr>
            <w:tcW w:w="2610" w:type="dxa"/>
            <w:vAlign w:val="center"/>
          </w:tcPr>
          <w:p w14:paraId="77070816" w14:textId="4AD74F9B" w:rsidR="00E87BAD" w:rsidRPr="00BA02FE" w:rsidRDefault="00E87BAD" w:rsidP="00EB13B1">
            <w:pPr>
              <w:rPr>
                <w:noProof/>
                <w:sz w:val="20"/>
                <w:szCs w:val="20"/>
                <w:lang w:val="fr-CA"/>
              </w:rPr>
            </w:pPr>
            <w:r w:rsidRPr="00BA02FE">
              <w:rPr>
                <w:noProof/>
                <w:sz w:val="20"/>
                <w:szCs w:val="20"/>
                <w:lang w:val="fr-CA"/>
              </w:rPr>
              <w:t>Toute transaction se négociant actuellement à T+2 passera à T+1. Les transactions actuelles soumises à des « conditions spéciales » demeureront inchangées.</w:t>
            </w:r>
          </w:p>
        </w:tc>
      </w:tr>
      <w:tr w:rsidR="00E87BAD" w:rsidRPr="009D62BC" w14:paraId="565631EF" w14:textId="77777777" w:rsidTr="005838F2">
        <w:tc>
          <w:tcPr>
            <w:tcW w:w="2160" w:type="dxa"/>
          </w:tcPr>
          <w:p w14:paraId="7650EF87" w14:textId="6D55224F"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Actions privées</w:t>
            </w:r>
          </w:p>
        </w:tc>
        <w:tc>
          <w:tcPr>
            <w:tcW w:w="3579" w:type="dxa"/>
          </w:tcPr>
          <w:p w14:paraId="1A02172A" w14:textId="6B3CE6AC" w:rsidR="00E87BAD" w:rsidRPr="00BA02FE" w:rsidRDefault="00E87BAD" w:rsidP="00E87BAD">
            <w:pPr>
              <w:rPr>
                <w:noProof/>
                <w:sz w:val="20"/>
                <w:szCs w:val="20"/>
                <w:lang w:val="fr-CA"/>
              </w:rPr>
            </w:pPr>
            <w:r w:rsidRPr="00BA02FE">
              <w:rPr>
                <w:noProof/>
                <w:sz w:val="20"/>
                <w:szCs w:val="20"/>
                <w:lang w:val="fr-CA"/>
              </w:rPr>
              <w:t xml:space="preserve">Actions non cotées en bourse disposant ou non d’un marché secondaire. Comprennent les placements privés, les fonds de capital-investissement et les sociétés privées sous contrôle canadien </w:t>
            </w:r>
            <w:r w:rsidRPr="00BA02FE">
              <w:rPr>
                <w:noProof/>
                <w:sz w:val="20"/>
                <w:szCs w:val="20"/>
                <w:lang w:val="fr-CA"/>
              </w:rPr>
              <w:lastRenderedPageBreak/>
              <w:t>(SPCC) ainsi que les sociétés de petites entreprises admissibles (SPEA).</w:t>
            </w:r>
          </w:p>
        </w:tc>
        <w:tc>
          <w:tcPr>
            <w:tcW w:w="2721" w:type="dxa"/>
            <w:vAlign w:val="center"/>
          </w:tcPr>
          <w:p w14:paraId="5D3F6951" w14:textId="5A94A2FD" w:rsidR="00E87BAD" w:rsidRPr="00BA02FE" w:rsidRDefault="00E87BAD" w:rsidP="00EB13B1">
            <w:pPr>
              <w:jc w:val="center"/>
              <w:rPr>
                <w:b/>
                <w:noProof/>
                <w:sz w:val="20"/>
                <w:szCs w:val="20"/>
                <w:lang w:val="fr-CA"/>
              </w:rPr>
            </w:pPr>
            <w:r w:rsidRPr="00BA02FE">
              <w:rPr>
                <w:b/>
                <w:noProof/>
                <w:sz w:val="20"/>
                <w:szCs w:val="20"/>
                <w:lang w:val="fr-CA"/>
              </w:rPr>
              <w:lastRenderedPageBreak/>
              <w:t>OUI</w:t>
            </w:r>
          </w:p>
          <w:p w14:paraId="0A4BD6BF" w14:textId="3058D5CF" w:rsidR="00E87BAD" w:rsidRPr="00BA02FE" w:rsidRDefault="00E87BAD" w:rsidP="00EB13B1">
            <w:pPr>
              <w:jc w:val="center"/>
              <w:rPr>
                <w:noProof/>
                <w:sz w:val="20"/>
                <w:szCs w:val="20"/>
                <w:lang w:val="fr-CA"/>
              </w:rPr>
            </w:pPr>
            <w:r w:rsidRPr="00BA02FE">
              <w:rPr>
                <w:noProof/>
                <w:sz w:val="20"/>
                <w:szCs w:val="20"/>
                <w:lang w:val="fr-CA"/>
              </w:rPr>
              <w:t>Uniquement les marchés secondaires</w:t>
            </w:r>
          </w:p>
        </w:tc>
        <w:tc>
          <w:tcPr>
            <w:tcW w:w="2610" w:type="dxa"/>
            <w:vAlign w:val="center"/>
          </w:tcPr>
          <w:p w14:paraId="1A7A0673" w14:textId="6D6365D6" w:rsidR="00E87BAD" w:rsidRPr="00BA02FE" w:rsidRDefault="00E87BAD" w:rsidP="00EB13B1">
            <w:pPr>
              <w:rPr>
                <w:noProof/>
                <w:sz w:val="20"/>
                <w:szCs w:val="20"/>
                <w:lang w:val="fr-CA"/>
              </w:rPr>
            </w:pPr>
            <w:r w:rsidRPr="00BA02FE">
              <w:rPr>
                <w:noProof/>
                <w:sz w:val="20"/>
                <w:szCs w:val="20"/>
                <w:lang w:val="fr-CA"/>
              </w:rPr>
              <w:t>Les périodes et les modalités de règlement sont fixées par les deux parties au moment de la transaction.</w:t>
            </w:r>
          </w:p>
        </w:tc>
      </w:tr>
      <w:tr w:rsidR="00E87BAD" w:rsidRPr="009D62BC" w14:paraId="79FEE85B" w14:textId="77777777" w:rsidTr="005838F2">
        <w:tc>
          <w:tcPr>
            <w:tcW w:w="2160" w:type="dxa"/>
          </w:tcPr>
          <w:p w14:paraId="43C67497" w14:textId="09A2F158"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Autres produits d’actions</w:t>
            </w:r>
          </w:p>
        </w:tc>
        <w:tc>
          <w:tcPr>
            <w:tcW w:w="3579" w:type="dxa"/>
          </w:tcPr>
          <w:p w14:paraId="2F73ABBC" w14:textId="70072D9F" w:rsidR="00E87BAD" w:rsidRPr="00BA02FE" w:rsidRDefault="00E87BAD" w:rsidP="00E87BAD">
            <w:pPr>
              <w:rPr>
                <w:i/>
                <w:noProof/>
                <w:sz w:val="20"/>
                <w:szCs w:val="20"/>
                <w:lang w:val="fr-CA"/>
              </w:rPr>
            </w:pPr>
            <w:r w:rsidRPr="00BA02FE">
              <w:rPr>
                <w:i/>
                <w:noProof/>
                <w:sz w:val="20"/>
                <w:szCs w:val="20"/>
                <w:lang w:val="fr-CA"/>
              </w:rPr>
              <w:t>Espace pour tout produit nouveau ou non identifié.</w:t>
            </w:r>
          </w:p>
        </w:tc>
        <w:tc>
          <w:tcPr>
            <w:tcW w:w="2721" w:type="dxa"/>
            <w:vAlign w:val="center"/>
          </w:tcPr>
          <w:p w14:paraId="03900DD6" w14:textId="77777777" w:rsidR="00E87BAD" w:rsidRPr="00BA02FE" w:rsidRDefault="00E87BAD" w:rsidP="00EB13B1">
            <w:pPr>
              <w:jc w:val="center"/>
              <w:rPr>
                <w:noProof/>
                <w:sz w:val="20"/>
                <w:szCs w:val="20"/>
                <w:lang w:val="fr-CA"/>
              </w:rPr>
            </w:pPr>
          </w:p>
        </w:tc>
        <w:tc>
          <w:tcPr>
            <w:tcW w:w="2610" w:type="dxa"/>
            <w:vAlign w:val="center"/>
          </w:tcPr>
          <w:p w14:paraId="486F899B" w14:textId="77777777" w:rsidR="00E87BAD" w:rsidRPr="00BA02FE" w:rsidRDefault="00E87BAD" w:rsidP="00EB13B1">
            <w:pPr>
              <w:rPr>
                <w:noProof/>
                <w:sz w:val="20"/>
                <w:szCs w:val="20"/>
                <w:lang w:val="fr-CA"/>
              </w:rPr>
            </w:pPr>
          </w:p>
        </w:tc>
      </w:tr>
      <w:tr w:rsidR="00E87BAD" w:rsidRPr="00BA02FE" w14:paraId="786E1196" w14:textId="77777777" w:rsidTr="005838F2">
        <w:tc>
          <w:tcPr>
            <w:tcW w:w="11070" w:type="dxa"/>
            <w:gridSpan w:val="4"/>
            <w:vAlign w:val="center"/>
          </w:tcPr>
          <w:p w14:paraId="4324DE39" w14:textId="422588F7" w:rsidR="00E87BAD" w:rsidRPr="00BA02FE" w:rsidRDefault="00E87BAD" w:rsidP="00B85D01">
            <w:pPr>
              <w:jc w:val="center"/>
              <w:rPr>
                <w:b/>
                <w:noProof/>
                <w:color w:val="FF0000"/>
                <w:sz w:val="24"/>
                <w:szCs w:val="24"/>
                <w:lang w:val="fr-CA"/>
              </w:rPr>
            </w:pPr>
            <w:r w:rsidRPr="00BA02FE">
              <w:rPr>
                <w:b/>
                <w:noProof/>
                <w:color w:val="FF0000"/>
                <w:sz w:val="24"/>
                <w:szCs w:val="24"/>
                <w:lang w:val="fr-CA"/>
              </w:rPr>
              <w:t>Fonds équilibrés</w:t>
            </w:r>
          </w:p>
        </w:tc>
      </w:tr>
      <w:tr w:rsidR="00E87BAD" w:rsidRPr="009D62BC" w14:paraId="77AF19D1" w14:textId="77777777" w:rsidTr="005838F2">
        <w:trPr>
          <w:trHeight w:val="1916"/>
        </w:trPr>
        <w:tc>
          <w:tcPr>
            <w:tcW w:w="2160" w:type="dxa"/>
          </w:tcPr>
          <w:p w14:paraId="31A5A260" w14:textId="2F8DBB28"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 xml:space="preserve">Fonds équilibrés </w:t>
            </w:r>
          </w:p>
        </w:tc>
        <w:tc>
          <w:tcPr>
            <w:tcW w:w="3579" w:type="dxa"/>
          </w:tcPr>
          <w:p w14:paraId="3A531285" w14:textId="28E62A95" w:rsidR="00E87BAD" w:rsidRPr="00BA02FE" w:rsidRDefault="00E87BAD" w:rsidP="00E87BAD">
            <w:pPr>
              <w:rPr>
                <w:noProof/>
                <w:sz w:val="20"/>
                <w:szCs w:val="20"/>
                <w:lang w:val="fr-CA"/>
              </w:rPr>
            </w:pPr>
            <w:r w:rsidRPr="00BA02FE">
              <w:rPr>
                <w:noProof/>
                <w:sz w:val="20"/>
                <w:szCs w:val="20"/>
                <w:lang w:val="fr-CA"/>
              </w:rPr>
              <w:t>Il est conseillé de distinguer ces participations par une sous-catégorie spécifique afin que le client final soit pleinement informé que sa participation peut passer d’une catégorie à l’autre à tout moment, et ce, afin d’éviter toute attente mal gérée par le porteur de parts, lorsqu’un fonds est équilibré, à savoir que le fonds peut contenir une allocation cible mobile répartie sur plusieurs sous-catégories (par exemple, entre les actions et les titres à revenu fixe)</w:t>
            </w:r>
            <w:r w:rsidR="009D1267">
              <w:rPr>
                <w:noProof/>
                <w:sz w:val="20"/>
                <w:szCs w:val="20"/>
                <w:lang w:val="fr-CA"/>
              </w:rPr>
              <w:t>.</w:t>
            </w:r>
          </w:p>
        </w:tc>
        <w:tc>
          <w:tcPr>
            <w:tcW w:w="2721" w:type="dxa"/>
            <w:vAlign w:val="center"/>
          </w:tcPr>
          <w:p w14:paraId="1FFA4366" w14:textId="7AC88D13" w:rsidR="00E87BAD" w:rsidRPr="00BA02FE" w:rsidRDefault="006828B4" w:rsidP="00EB13B1">
            <w:pPr>
              <w:jc w:val="center"/>
              <w:rPr>
                <w:b/>
                <w:bCs/>
                <w:noProof/>
                <w:sz w:val="20"/>
                <w:szCs w:val="20"/>
                <w:highlight w:val="yellow"/>
                <w:lang w:val="fr-CA"/>
              </w:rPr>
            </w:pPr>
            <w:r w:rsidRPr="003B2A44">
              <w:rPr>
                <w:b/>
                <w:bCs/>
                <w:noProof/>
                <w:sz w:val="20"/>
                <w:szCs w:val="20"/>
                <w:lang w:val="fr-CA"/>
              </w:rPr>
              <w:t>En cours d</w:t>
            </w:r>
            <w:r w:rsidR="00C32502">
              <w:rPr>
                <w:b/>
                <w:bCs/>
                <w:noProof/>
                <w:sz w:val="20"/>
                <w:szCs w:val="20"/>
                <w:lang w:val="fr-CA"/>
              </w:rPr>
              <w:t>’</w:t>
            </w:r>
            <w:r w:rsidRPr="003B2A44">
              <w:rPr>
                <w:b/>
                <w:bCs/>
                <w:noProof/>
                <w:sz w:val="20"/>
                <w:szCs w:val="20"/>
                <w:lang w:val="fr-CA"/>
              </w:rPr>
              <w:t>examen par le secteur des fonds communs de placement</w:t>
            </w:r>
          </w:p>
        </w:tc>
        <w:tc>
          <w:tcPr>
            <w:tcW w:w="2610" w:type="dxa"/>
            <w:vAlign w:val="center"/>
          </w:tcPr>
          <w:p w14:paraId="5EF853AE" w14:textId="3D02149A" w:rsidR="00E87BAD" w:rsidRPr="00263F8C" w:rsidRDefault="00E87BAD" w:rsidP="00EB13B1">
            <w:pPr>
              <w:rPr>
                <w:b/>
                <w:bCs/>
                <w:noProof/>
                <w:sz w:val="20"/>
                <w:szCs w:val="20"/>
                <w:lang w:val="fr-CA"/>
              </w:rPr>
            </w:pPr>
            <w:r w:rsidRPr="00263F8C">
              <w:rPr>
                <w:b/>
                <w:bCs/>
                <w:noProof/>
                <w:sz w:val="20"/>
                <w:szCs w:val="20"/>
                <w:lang w:val="fr-CA"/>
              </w:rPr>
              <w:t>Consulter le tableau distinct des fonds ci-dessous</w:t>
            </w:r>
          </w:p>
        </w:tc>
      </w:tr>
      <w:tr w:rsidR="00263F8C" w:rsidRPr="00BA02FE" w14:paraId="71F9BDBC" w14:textId="13DD29C5" w:rsidTr="005838F2">
        <w:tc>
          <w:tcPr>
            <w:tcW w:w="11070" w:type="dxa"/>
            <w:gridSpan w:val="4"/>
            <w:vAlign w:val="center"/>
          </w:tcPr>
          <w:p w14:paraId="137E5E71" w14:textId="0C4E0C11" w:rsidR="00263F8C" w:rsidRPr="00BA02FE" w:rsidRDefault="00263F8C" w:rsidP="00FA791E">
            <w:pPr>
              <w:keepNext/>
              <w:keepLines/>
              <w:jc w:val="center"/>
              <w:rPr>
                <w:b/>
                <w:noProof/>
                <w:color w:val="FF0000"/>
                <w:sz w:val="24"/>
                <w:szCs w:val="24"/>
                <w:lang w:val="fr-CA"/>
              </w:rPr>
            </w:pPr>
            <w:r w:rsidRPr="00BA02FE">
              <w:rPr>
                <w:b/>
                <w:noProof/>
                <w:color w:val="FF0000"/>
                <w:sz w:val="24"/>
                <w:szCs w:val="24"/>
                <w:lang w:val="fr-CA"/>
              </w:rPr>
              <w:t>Placements alternatifs</w:t>
            </w:r>
          </w:p>
        </w:tc>
      </w:tr>
      <w:tr w:rsidR="00E87BAD" w:rsidRPr="009D62BC" w14:paraId="30B87BAE" w14:textId="77777777" w:rsidTr="005838F2">
        <w:tc>
          <w:tcPr>
            <w:tcW w:w="2160" w:type="dxa"/>
          </w:tcPr>
          <w:p w14:paraId="14F0C757" w14:textId="1EAB74A6"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Marchandises physiques</w:t>
            </w:r>
          </w:p>
        </w:tc>
        <w:tc>
          <w:tcPr>
            <w:tcW w:w="3579" w:type="dxa"/>
          </w:tcPr>
          <w:p w14:paraId="741C19C3" w14:textId="01763167" w:rsidR="00E87BAD" w:rsidRPr="00BA02FE" w:rsidRDefault="00E87BAD" w:rsidP="00E87BAD">
            <w:pPr>
              <w:rPr>
                <w:noProof/>
                <w:sz w:val="20"/>
                <w:szCs w:val="20"/>
                <w:lang w:val="fr-CA"/>
              </w:rPr>
            </w:pPr>
            <w:r w:rsidRPr="00BA02FE">
              <w:rPr>
                <w:noProof/>
                <w:sz w:val="20"/>
                <w:szCs w:val="20"/>
                <w:lang w:val="fr-CA"/>
              </w:rPr>
              <w:t xml:space="preserve">Propriété directe (par exemple, d’or, d’argent, d’autres métaux précieux, de métaux rares, etc.)  </w:t>
            </w:r>
          </w:p>
        </w:tc>
        <w:tc>
          <w:tcPr>
            <w:tcW w:w="2721" w:type="dxa"/>
            <w:vAlign w:val="center"/>
          </w:tcPr>
          <w:p w14:paraId="751540C7" w14:textId="3627F47A" w:rsidR="00E87BAD" w:rsidRPr="00BA02FE" w:rsidRDefault="00E87BAD" w:rsidP="00EB13B1">
            <w:pPr>
              <w:keepNext/>
              <w:keepLines/>
              <w:jc w:val="center"/>
              <w:rPr>
                <w:noProof/>
                <w:sz w:val="20"/>
                <w:szCs w:val="20"/>
                <w:lang w:val="fr-CA"/>
              </w:rPr>
            </w:pPr>
            <w:r w:rsidRPr="00BA02FE">
              <w:rPr>
                <w:noProof/>
                <w:sz w:val="20"/>
                <w:szCs w:val="20"/>
                <w:lang w:val="fr-CA"/>
              </w:rPr>
              <w:t>NON</w:t>
            </w:r>
          </w:p>
        </w:tc>
        <w:tc>
          <w:tcPr>
            <w:tcW w:w="2610" w:type="dxa"/>
            <w:vAlign w:val="center"/>
          </w:tcPr>
          <w:p w14:paraId="4B6304B5" w14:textId="1A38E12D" w:rsidR="00E87BAD" w:rsidRPr="00BA02FE" w:rsidRDefault="00E87BAD" w:rsidP="00EB13B1">
            <w:pPr>
              <w:rPr>
                <w:noProof/>
                <w:sz w:val="20"/>
                <w:szCs w:val="20"/>
                <w:lang w:val="fr-CA"/>
              </w:rPr>
            </w:pPr>
            <w:r w:rsidRPr="00BA02FE">
              <w:rPr>
                <w:noProof/>
                <w:sz w:val="20"/>
                <w:szCs w:val="20"/>
                <w:lang w:val="fr-CA"/>
              </w:rPr>
              <w:t>Ne constituent pas un titre.</w:t>
            </w:r>
          </w:p>
        </w:tc>
      </w:tr>
      <w:tr w:rsidR="00E87BAD" w:rsidRPr="009D62BC" w14:paraId="50771805" w14:textId="77777777" w:rsidTr="005838F2">
        <w:tc>
          <w:tcPr>
            <w:tcW w:w="2160" w:type="dxa"/>
          </w:tcPr>
          <w:p w14:paraId="6FB55A29" w14:textId="44C0CB33"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Certificats négociés en bourse (CNB)</w:t>
            </w:r>
          </w:p>
        </w:tc>
        <w:tc>
          <w:tcPr>
            <w:tcW w:w="3579" w:type="dxa"/>
          </w:tcPr>
          <w:p w14:paraId="1B50C7F7" w14:textId="7E42C1BF" w:rsidR="00E87BAD" w:rsidRPr="00BA02FE" w:rsidRDefault="00E87BAD" w:rsidP="00E87BAD">
            <w:pPr>
              <w:rPr>
                <w:noProof/>
                <w:sz w:val="20"/>
                <w:szCs w:val="20"/>
                <w:lang w:val="fr-CA"/>
              </w:rPr>
            </w:pPr>
            <w:r w:rsidRPr="00BA02FE">
              <w:rPr>
                <w:noProof/>
                <w:sz w:val="20"/>
                <w:szCs w:val="20"/>
                <w:lang w:val="fr-CA"/>
              </w:rPr>
              <w:t>Émis par la Monnaie royale canadienne, ils sont négociables en bourse ou, chaque mois, peuvent être échangés contre des pièces ou des lingots d’or.</w:t>
            </w:r>
          </w:p>
        </w:tc>
        <w:tc>
          <w:tcPr>
            <w:tcW w:w="2721" w:type="dxa"/>
            <w:vAlign w:val="center"/>
          </w:tcPr>
          <w:p w14:paraId="051405F5" w14:textId="548251FB" w:rsidR="00E87BAD" w:rsidRPr="00BA02FE" w:rsidRDefault="00E87BAD" w:rsidP="00EB13B1">
            <w:pPr>
              <w:keepNext/>
              <w:keepLines/>
              <w:jc w:val="center"/>
              <w:rPr>
                <w:b/>
                <w:bCs/>
                <w:noProof/>
                <w:sz w:val="20"/>
                <w:szCs w:val="20"/>
                <w:lang w:val="fr-CA"/>
              </w:rPr>
            </w:pPr>
            <w:r w:rsidRPr="00BA02FE">
              <w:rPr>
                <w:b/>
                <w:bCs/>
                <w:noProof/>
                <w:sz w:val="20"/>
                <w:szCs w:val="20"/>
                <w:lang w:val="fr-CA"/>
              </w:rPr>
              <w:t>OUI</w:t>
            </w:r>
          </w:p>
        </w:tc>
        <w:tc>
          <w:tcPr>
            <w:tcW w:w="2610" w:type="dxa"/>
            <w:vAlign w:val="center"/>
          </w:tcPr>
          <w:p w14:paraId="6C353675" w14:textId="47600C35" w:rsidR="00E87BAD" w:rsidRPr="00BA02FE" w:rsidRDefault="009D1267" w:rsidP="00EB13B1">
            <w:pPr>
              <w:rPr>
                <w:noProof/>
                <w:sz w:val="20"/>
                <w:szCs w:val="20"/>
                <w:lang w:val="fr-CA"/>
              </w:rPr>
            </w:pPr>
            <w:r>
              <w:rPr>
                <w:noProof/>
                <w:sz w:val="20"/>
                <w:szCs w:val="20"/>
                <w:lang w:val="fr-CA"/>
              </w:rPr>
              <w:t xml:space="preserve">Nouveau produit : </w:t>
            </w:r>
            <w:r w:rsidR="00E87BAD" w:rsidRPr="00BA02FE">
              <w:rPr>
                <w:noProof/>
                <w:sz w:val="20"/>
                <w:szCs w:val="20"/>
                <w:lang w:val="fr-CA"/>
              </w:rPr>
              <w:t>Rachats de pièces d’or ou de lingots exclus.</w:t>
            </w:r>
          </w:p>
        </w:tc>
      </w:tr>
      <w:tr w:rsidR="00E87BAD" w:rsidRPr="00BA02FE" w14:paraId="28FE2D23" w14:textId="77777777" w:rsidTr="005838F2">
        <w:tc>
          <w:tcPr>
            <w:tcW w:w="2160" w:type="dxa"/>
          </w:tcPr>
          <w:p w14:paraId="306D9994" w14:textId="2D4109BB" w:rsidR="00E87BAD" w:rsidRPr="00BA02FE" w:rsidRDefault="00E87BAD" w:rsidP="00E87BAD">
            <w:pPr>
              <w:pStyle w:val="ListParagraph"/>
              <w:numPr>
                <w:ilvl w:val="0"/>
                <w:numId w:val="11"/>
              </w:numPr>
              <w:rPr>
                <w:noProof/>
                <w:sz w:val="20"/>
                <w:szCs w:val="20"/>
                <w:lang w:val="fr-CA"/>
              </w:rPr>
            </w:pPr>
            <w:bookmarkStart w:id="1" w:name="_Hlk102736597"/>
            <w:r w:rsidRPr="00BA02FE">
              <w:rPr>
                <w:noProof/>
                <w:sz w:val="20"/>
                <w:szCs w:val="20"/>
                <w:lang w:val="fr-CA"/>
              </w:rPr>
              <w:t>Fonds distincts</w:t>
            </w:r>
          </w:p>
        </w:tc>
        <w:tc>
          <w:tcPr>
            <w:tcW w:w="3579" w:type="dxa"/>
          </w:tcPr>
          <w:p w14:paraId="77A994A9" w14:textId="4BDB6BEA" w:rsidR="00E87BAD" w:rsidRPr="00BA02FE" w:rsidRDefault="00E87BAD" w:rsidP="00E87BAD">
            <w:pPr>
              <w:rPr>
                <w:noProof/>
                <w:sz w:val="20"/>
                <w:szCs w:val="20"/>
                <w:lang w:val="fr-CA"/>
              </w:rPr>
            </w:pPr>
            <w:r w:rsidRPr="00BA02FE">
              <w:rPr>
                <w:noProof/>
                <w:sz w:val="20"/>
                <w:szCs w:val="20"/>
                <w:lang w:val="fr-CA"/>
              </w:rPr>
              <w:t>Catégorie d’investissement groupé similaire à un fonds commun de placement, mais considéré comme un produit d’assurance. Le produit reçu par la compagnie d’assurance est utilisé pour acquérir des actifs sous-jacents susceptibles de croiser des sous-catégories, puis les parts des fonds distincts sont vendues aux investisseurs. Les fonds distincts peuvent garantir un rendement spécifique sur la durée de vie du placement ou à l’échéance du fonds.</w:t>
            </w:r>
          </w:p>
        </w:tc>
        <w:tc>
          <w:tcPr>
            <w:tcW w:w="2721" w:type="dxa"/>
            <w:vAlign w:val="center"/>
          </w:tcPr>
          <w:p w14:paraId="3FB905B0" w14:textId="03CBEA5C" w:rsidR="00E87BAD" w:rsidRPr="00BA02FE" w:rsidRDefault="00E87BAD" w:rsidP="00EB13B1">
            <w:pPr>
              <w:jc w:val="center"/>
              <w:rPr>
                <w:b/>
                <w:bCs/>
                <w:noProof/>
                <w:sz w:val="20"/>
                <w:szCs w:val="20"/>
                <w:lang w:val="fr-CA"/>
              </w:rPr>
            </w:pPr>
            <w:r w:rsidRPr="00BA02FE">
              <w:rPr>
                <w:b/>
                <w:bCs/>
                <w:noProof/>
                <w:sz w:val="20"/>
                <w:szCs w:val="20"/>
                <w:lang w:val="fr-CA"/>
              </w:rPr>
              <w:t>Sujet à variation</w:t>
            </w:r>
          </w:p>
        </w:tc>
        <w:tc>
          <w:tcPr>
            <w:tcW w:w="2610" w:type="dxa"/>
            <w:vAlign w:val="center"/>
          </w:tcPr>
          <w:p w14:paraId="381C192A" w14:textId="38D3E09F" w:rsidR="00E87BAD" w:rsidRPr="00BA02FE" w:rsidRDefault="00E87BAD" w:rsidP="00EB13B1">
            <w:pPr>
              <w:rPr>
                <w:noProof/>
                <w:sz w:val="20"/>
                <w:szCs w:val="20"/>
                <w:lang w:val="fr-CA"/>
              </w:rPr>
            </w:pPr>
          </w:p>
        </w:tc>
      </w:tr>
      <w:bookmarkEnd w:id="1"/>
      <w:tr w:rsidR="00E87BAD" w:rsidRPr="00BA02FE" w14:paraId="6C44E355" w14:textId="77777777" w:rsidTr="005838F2">
        <w:tc>
          <w:tcPr>
            <w:tcW w:w="2160" w:type="dxa"/>
          </w:tcPr>
          <w:p w14:paraId="3A165921" w14:textId="591A2B1C"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Investissements à effet de levier</w:t>
            </w:r>
          </w:p>
        </w:tc>
        <w:tc>
          <w:tcPr>
            <w:tcW w:w="3579" w:type="dxa"/>
          </w:tcPr>
          <w:p w14:paraId="0666106C" w14:textId="59C73F96" w:rsidR="00E87BAD" w:rsidRPr="00BA02FE" w:rsidRDefault="00E87BAD" w:rsidP="00E87BAD">
            <w:pPr>
              <w:rPr>
                <w:noProof/>
                <w:sz w:val="20"/>
                <w:szCs w:val="20"/>
                <w:lang w:val="fr-CA"/>
              </w:rPr>
            </w:pPr>
            <w:r w:rsidRPr="00BA02FE">
              <w:rPr>
                <w:noProof/>
                <w:sz w:val="20"/>
                <w:szCs w:val="20"/>
                <w:lang w:val="fr-CA"/>
              </w:rPr>
              <w:t>Placements qui reposent principalement sur l’effet de levier. Il s’agit notamment des actions à capital variable, des FNB à effet de levier et des FNB inversés.</w:t>
            </w:r>
          </w:p>
        </w:tc>
        <w:tc>
          <w:tcPr>
            <w:tcW w:w="2721" w:type="dxa"/>
            <w:vAlign w:val="center"/>
          </w:tcPr>
          <w:p w14:paraId="1490B303" w14:textId="27BF0829" w:rsidR="00E87BAD" w:rsidRPr="00BA02FE" w:rsidRDefault="00E87BAD" w:rsidP="00EB13B1">
            <w:pPr>
              <w:jc w:val="center"/>
              <w:rPr>
                <w:b/>
                <w:bCs/>
                <w:noProof/>
                <w:sz w:val="20"/>
                <w:szCs w:val="20"/>
                <w:lang w:val="fr-CA"/>
              </w:rPr>
            </w:pPr>
            <w:r w:rsidRPr="00BA02FE">
              <w:rPr>
                <w:b/>
                <w:bCs/>
                <w:noProof/>
                <w:sz w:val="20"/>
                <w:szCs w:val="20"/>
                <w:lang w:val="fr-CA"/>
              </w:rPr>
              <w:t>OUI</w:t>
            </w:r>
          </w:p>
        </w:tc>
        <w:tc>
          <w:tcPr>
            <w:tcW w:w="2610" w:type="dxa"/>
            <w:vAlign w:val="center"/>
          </w:tcPr>
          <w:p w14:paraId="0E304146" w14:textId="66A8E17D" w:rsidR="00E87BAD" w:rsidRPr="00BA02FE" w:rsidRDefault="00E87BAD" w:rsidP="00EB13B1">
            <w:pPr>
              <w:rPr>
                <w:noProof/>
                <w:sz w:val="20"/>
                <w:szCs w:val="20"/>
                <w:lang w:val="fr-CA"/>
              </w:rPr>
            </w:pPr>
          </w:p>
        </w:tc>
      </w:tr>
      <w:tr w:rsidR="00E87BAD" w:rsidRPr="009D62BC" w14:paraId="5E3973D8" w14:textId="77777777" w:rsidTr="005838F2">
        <w:tc>
          <w:tcPr>
            <w:tcW w:w="2160" w:type="dxa"/>
            <w:vMerge w:val="restart"/>
          </w:tcPr>
          <w:p w14:paraId="29D229F8" w14:textId="18104CE1" w:rsidR="00E87BAD" w:rsidRPr="00BA02FE" w:rsidRDefault="00E87BAD" w:rsidP="00E87BAD">
            <w:pPr>
              <w:pStyle w:val="ListParagraph"/>
              <w:numPr>
                <w:ilvl w:val="0"/>
                <w:numId w:val="11"/>
              </w:numPr>
              <w:rPr>
                <w:noProof/>
                <w:sz w:val="20"/>
                <w:szCs w:val="20"/>
                <w:lang w:val="fr-CA"/>
              </w:rPr>
            </w:pPr>
            <w:r w:rsidRPr="00BA02FE">
              <w:rPr>
                <w:noProof/>
                <w:sz w:val="20"/>
                <w:szCs w:val="20"/>
                <w:lang w:val="fr-CA"/>
              </w:rPr>
              <w:t>Produits dérivés</w:t>
            </w:r>
          </w:p>
        </w:tc>
        <w:tc>
          <w:tcPr>
            <w:tcW w:w="3579" w:type="dxa"/>
          </w:tcPr>
          <w:p w14:paraId="7EA0CCC2" w14:textId="4FE31156" w:rsidR="00E87BAD" w:rsidRPr="00BA02FE" w:rsidRDefault="00E87BAD" w:rsidP="00E87BAD">
            <w:pPr>
              <w:rPr>
                <w:noProof/>
                <w:sz w:val="20"/>
                <w:szCs w:val="20"/>
                <w:lang w:val="fr-CA"/>
              </w:rPr>
            </w:pPr>
            <w:r w:rsidRPr="00BA02FE">
              <w:rPr>
                <w:noProof/>
                <w:sz w:val="20"/>
                <w:szCs w:val="20"/>
                <w:lang w:val="fr-CA"/>
              </w:rPr>
              <w:t>Instrument financier dont la valeur se fonde sur un ou plusieurs actifs sous-jacents. Concrètement, il s’agit d’un contrat entre deux parties qui définit les conditions (notamment les dates, les valeurs résultantes des variables sous-jacentes et les montants notionnels) selon lesquelles les paiements sont effectués entre les parties. Les types de produits dérivés les plus fréquents sont :</w:t>
            </w:r>
          </w:p>
        </w:tc>
        <w:tc>
          <w:tcPr>
            <w:tcW w:w="2721" w:type="dxa"/>
            <w:vAlign w:val="center"/>
          </w:tcPr>
          <w:p w14:paraId="79DC1B1F" w14:textId="77777777" w:rsidR="00E87BAD" w:rsidRPr="00BA02FE" w:rsidRDefault="00E87BAD" w:rsidP="00EB13B1">
            <w:pPr>
              <w:jc w:val="center"/>
              <w:rPr>
                <w:noProof/>
                <w:sz w:val="20"/>
                <w:szCs w:val="20"/>
                <w:lang w:val="fr-CA"/>
              </w:rPr>
            </w:pPr>
          </w:p>
        </w:tc>
        <w:tc>
          <w:tcPr>
            <w:tcW w:w="2610" w:type="dxa"/>
            <w:vAlign w:val="center"/>
          </w:tcPr>
          <w:p w14:paraId="0C095CCA" w14:textId="20FC4BB4" w:rsidR="00E87BAD" w:rsidRPr="00BA02FE" w:rsidRDefault="00E87BAD" w:rsidP="00EB13B1">
            <w:pPr>
              <w:rPr>
                <w:noProof/>
                <w:sz w:val="20"/>
                <w:szCs w:val="20"/>
                <w:lang w:val="fr-CA"/>
              </w:rPr>
            </w:pPr>
            <w:r w:rsidRPr="00BA02FE">
              <w:rPr>
                <w:b/>
                <w:noProof/>
                <w:sz w:val="20"/>
                <w:szCs w:val="20"/>
                <w:lang w:val="fr-CA"/>
              </w:rPr>
              <w:t>Note :</w:t>
            </w:r>
            <w:r w:rsidRPr="00BA02FE">
              <w:rPr>
                <w:noProof/>
                <w:sz w:val="20"/>
                <w:szCs w:val="20"/>
                <w:lang w:val="fr-CA"/>
              </w:rPr>
              <w:t xml:space="preserve">  Les produits dérivés négociés en bourse (options, contrats à terme, etc.) sont exclus de T+1, mais les exercices et les cessions de ces produits dérivés sont couverts et déclarés à la CDS pour règlement et passeront à T+1 si la valeur sous-jacente</w:t>
            </w:r>
            <w:r w:rsidR="006C6FE7">
              <w:rPr>
                <w:noProof/>
                <w:sz w:val="20"/>
                <w:szCs w:val="20"/>
                <w:lang w:val="fr-CA"/>
              </w:rPr>
              <w:t xml:space="preserve"> passe à T+1.</w:t>
            </w:r>
          </w:p>
        </w:tc>
      </w:tr>
      <w:tr w:rsidR="00E87BAD" w:rsidRPr="00BA02FE" w14:paraId="37FC29F7" w14:textId="77777777" w:rsidTr="005838F2">
        <w:tc>
          <w:tcPr>
            <w:tcW w:w="2160" w:type="dxa"/>
            <w:vMerge/>
          </w:tcPr>
          <w:p w14:paraId="5D1E03BA" w14:textId="77777777" w:rsidR="00E87BAD" w:rsidRPr="00BA02FE" w:rsidRDefault="00E87BAD" w:rsidP="00E87BAD">
            <w:pPr>
              <w:pStyle w:val="ListParagraph"/>
              <w:numPr>
                <w:ilvl w:val="0"/>
                <w:numId w:val="11"/>
              </w:numPr>
              <w:rPr>
                <w:noProof/>
                <w:sz w:val="20"/>
                <w:szCs w:val="20"/>
                <w:lang w:val="fr-CA"/>
              </w:rPr>
            </w:pPr>
          </w:p>
        </w:tc>
        <w:tc>
          <w:tcPr>
            <w:tcW w:w="3579" w:type="dxa"/>
          </w:tcPr>
          <w:p w14:paraId="6381E3BD" w14:textId="5D60A13C"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Contrats à terme</w:t>
            </w:r>
          </w:p>
        </w:tc>
        <w:tc>
          <w:tcPr>
            <w:tcW w:w="2721" w:type="dxa"/>
            <w:vAlign w:val="center"/>
          </w:tcPr>
          <w:p w14:paraId="090ABC74" w14:textId="2050D96D" w:rsidR="00E87BAD" w:rsidRPr="00BA02FE" w:rsidRDefault="00EB13B1" w:rsidP="00EB13B1">
            <w:pPr>
              <w:jc w:val="center"/>
              <w:rPr>
                <w:noProof/>
                <w:sz w:val="20"/>
                <w:szCs w:val="20"/>
                <w:lang w:val="fr-CA"/>
              </w:rPr>
            </w:pPr>
            <w:r w:rsidRPr="00BA02FE">
              <w:rPr>
                <w:noProof/>
                <w:sz w:val="20"/>
                <w:szCs w:val="20"/>
                <w:lang w:val="fr-CA"/>
              </w:rPr>
              <w:t>NON</w:t>
            </w:r>
          </w:p>
        </w:tc>
        <w:tc>
          <w:tcPr>
            <w:tcW w:w="2610" w:type="dxa"/>
            <w:vAlign w:val="center"/>
          </w:tcPr>
          <w:p w14:paraId="7BEC6C1A" w14:textId="7F5C2082" w:rsidR="00E87BAD" w:rsidRPr="00BA02FE" w:rsidRDefault="00E87BAD" w:rsidP="00EB13B1">
            <w:pPr>
              <w:rPr>
                <w:noProof/>
                <w:sz w:val="20"/>
                <w:szCs w:val="20"/>
                <w:lang w:val="fr-CA"/>
              </w:rPr>
            </w:pPr>
            <w:r w:rsidRPr="00BA02FE">
              <w:rPr>
                <w:noProof/>
                <w:sz w:val="20"/>
                <w:szCs w:val="20"/>
                <w:lang w:val="fr-CA"/>
              </w:rPr>
              <w:t>T+1 aujourd’hui</w:t>
            </w:r>
          </w:p>
        </w:tc>
      </w:tr>
      <w:tr w:rsidR="00E87BAD" w:rsidRPr="00BA02FE" w14:paraId="50E9B509" w14:textId="77777777" w:rsidTr="005838F2">
        <w:tc>
          <w:tcPr>
            <w:tcW w:w="2160" w:type="dxa"/>
            <w:vMerge/>
          </w:tcPr>
          <w:p w14:paraId="5FE2C0C5" w14:textId="77777777" w:rsidR="00E87BAD" w:rsidRPr="00BA02FE" w:rsidRDefault="00E87BAD" w:rsidP="00E87BAD">
            <w:pPr>
              <w:pStyle w:val="ListParagraph"/>
              <w:numPr>
                <w:ilvl w:val="0"/>
                <w:numId w:val="11"/>
              </w:numPr>
              <w:rPr>
                <w:noProof/>
                <w:sz w:val="20"/>
                <w:szCs w:val="20"/>
                <w:lang w:val="fr-CA"/>
              </w:rPr>
            </w:pPr>
          </w:p>
        </w:tc>
        <w:tc>
          <w:tcPr>
            <w:tcW w:w="3579" w:type="dxa"/>
          </w:tcPr>
          <w:p w14:paraId="190A2FD1" w14:textId="1EC9836A"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 xml:space="preserve">Contrats à terme </w:t>
            </w:r>
          </w:p>
        </w:tc>
        <w:tc>
          <w:tcPr>
            <w:tcW w:w="2721" w:type="dxa"/>
            <w:vAlign w:val="center"/>
          </w:tcPr>
          <w:p w14:paraId="36D92E22" w14:textId="6895D716" w:rsidR="00E87BAD" w:rsidRPr="00BA02FE" w:rsidRDefault="00EB13B1" w:rsidP="00EB13B1">
            <w:pPr>
              <w:jc w:val="center"/>
              <w:rPr>
                <w:noProof/>
                <w:sz w:val="20"/>
                <w:szCs w:val="20"/>
                <w:lang w:val="fr-CA"/>
              </w:rPr>
            </w:pPr>
            <w:r w:rsidRPr="00BA02FE">
              <w:rPr>
                <w:noProof/>
                <w:sz w:val="20"/>
                <w:szCs w:val="20"/>
                <w:lang w:val="fr-CA"/>
              </w:rPr>
              <w:t>NON</w:t>
            </w:r>
          </w:p>
        </w:tc>
        <w:tc>
          <w:tcPr>
            <w:tcW w:w="2610" w:type="dxa"/>
            <w:vAlign w:val="center"/>
          </w:tcPr>
          <w:p w14:paraId="44CB9396" w14:textId="63F9D10B" w:rsidR="00E87BAD" w:rsidRPr="00BA02FE" w:rsidRDefault="00E87BAD" w:rsidP="00EB13B1">
            <w:pPr>
              <w:rPr>
                <w:noProof/>
                <w:sz w:val="20"/>
                <w:szCs w:val="20"/>
                <w:lang w:val="fr-CA"/>
              </w:rPr>
            </w:pPr>
            <w:r w:rsidRPr="00BA02FE">
              <w:rPr>
                <w:noProof/>
                <w:sz w:val="20"/>
                <w:szCs w:val="20"/>
                <w:lang w:val="fr-CA"/>
              </w:rPr>
              <w:t>T+1 aujourd’hui</w:t>
            </w:r>
          </w:p>
        </w:tc>
      </w:tr>
      <w:tr w:rsidR="00E87BAD" w:rsidRPr="00BA02FE" w14:paraId="1288DA8F" w14:textId="77777777" w:rsidTr="005838F2">
        <w:tc>
          <w:tcPr>
            <w:tcW w:w="2160" w:type="dxa"/>
            <w:vMerge/>
          </w:tcPr>
          <w:p w14:paraId="30D3086A" w14:textId="77777777" w:rsidR="00E87BAD" w:rsidRPr="00BA02FE" w:rsidRDefault="00E87BAD" w:rsidP="00E87BAD">
            <w:pPr>
              <w:pStyle w:val="ListParagraph"/>
              <w:numPr>
                <w:ilvl w:val="0"/>
                <w:numId w:val="11"/>
              </w:numPr>
              <w:rPr>
                <w:noProof/>
                <w:sz w:val="20"/>
                <w:szCs w:val="20"/>
                <w:lang w:val="fr-CA"/>
              </w:rPr>
            </w:pPr>
          </w:p>
        </w:tc>
        <w:tc>
          <w:tcPr>
            <w:tcW w:w="3579" w:type="dxa"/>
          </w:tcPr>
          <w:p w14:paraId="2AF6A4CC" w14:textId="77777777"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Options</w:t>
            </w:r>
          </w:p>
        </w:tc>
        <w:tc>
          <w:tcPr>
            <w:tcW w:w="2721" w:type="dxa"/>
            <w:vAlign w:val="center"/>
          </w:tcPr>
          <w:p w14:paraId="531CFB3A" w14:textId="13FFBF7D" w:rsidR="00E87BAD" w:rsidRPr="00BA02FE" w:rsidRDefault="00EB13B1" w:rsidP="00EB13B1">
            <w:pPr>
              <w:jc w:val="center"/>
              <w:rPr>
                <w:noProof/>
                <w:sz w:val="20"/>
                <w:szCs w:val="20"/>
                <w:lang w:val="fr-CA"/>
              </w:rPr>
            </w:pPr>
            <w:r w:rsidRPr="00BA02FE">
              <w:rPr>
                <w:noProof/>
                <w:sz w:val="20"/>
                <w:szCs w:val="20"/>
                <w:lang w:val="fr-CA"/>
              </w:rPr>
              <w:t>NON</w:t>
            </w:r>
          </w:p>
        </w:tc>
        <w:tc>
          <w:tcPr>
            <w:tcW w:w="2610" w:type="dxa"/>
            <w:vAlign w:val="center"/>
          </w:tcPr>
          <w:p w14:paraId="19DEC719" w14:textId="73F97CB2" w:rsidR="00E87BAD" w:rsidRPr="00BA02FE" w:rsidRDefault="00E87BAD" w:rsidP="00EB13B1">
            <w:pPr>
              <w:rPr>
                <w:noProof/>
                <w:sz w:val="20"/>
                <w:szCs w:val="20"/>
                <w:lang w:val="fr-CA"/>
              </w:rPr>
            </w:pPr>
            <w:r w:rsidRPr="00BA02FE">
              <w:rPr>
                <w:noProof/>
                <w:sz w:val="20"/>
                <w:szCs w:val="20"/>
                <w:lang w:val="fr-CA"/>
              </w:rPr>
              <w:t>T+1 aujourd’hui</w:t>
            </w:r>
          </w:p>
        </w:tc>
      </w:tr>
      <w:tr w:rsidR="00E87BAD" w:rsidRPr="009D62BC" w14:paraId="09F19B56" w14:textId="77777777" w:rsidTr="005838F2">
        <w:tc>
          <w:tcPr>
            <w:tcW w:w="2160" w:type="dxa"/>
            <w:vMerge/>
          </w:tcPr>
          <w:p w14:paraId="27355693" w14:textId="77777777" w:rsidR="00E87BAD" w:rsidRPr="00BA02FE" w:rsidRDefault="00E87BAD" w:rsidP="00E87BAD">
            <w:pPr>
              <w:pStyle w:val="ListParagraph"/>
              <w:numPr>
                <w:ilvl w:val="0"/>
                <w:numId w:val="11"/>
              </w:numPr>
              <w:rPr>
                <w:noProof/>
                <w:sz w:val="20"/>
                <w:szCs w:val="20"/>
                <w:lang w:val="fr-CA"/>
              </w:rPr>
            </w:pPr>
          </w:p>
        </w:tc>
        <w:tc>
          <w:tcPr>
            <w:tcW w:w="3579" w:type="dxa"/>
          </w:tcPr>
          <w:p w14:paraId="444708D6" w14:textId="77777777" w:rsidR="00E87BAD" w:rsidRPr="00BA02FE" w:rsidRDefault="00E87BAD" w:rsidP="00E87BAD">
            <w:pPr>
              <w:pStyle w:val="ListParagraph"/>
              <w:numPr>
                <w:ilvl w:val="0"/>
                <w:numId w:val="3"/>
              </w:numPr>
              <w:rPr>
                <w:noProof/>
                <w:sz w:val="20"/>
                <w:szCs w:val="20"/>
                <w:lang w:val="fr-CA"/>
              </w:rPr>
            </w:pPr>
            <w:r w:rsidRPr="00BA02FE">
              <w:rPr>
                <w:noProof/>
                <w:sz w:val="20"/>
                <w:szCs w:val="20"/>
                <w:lang w:val="fr-CA"/>
              </w:rPr>
              <w:t>Swaps</w:t>
            </w:r>
          </w:p>
        </w:tc>
        <w:tc>
          <w:tcPr>
            <w:tcW w:w="2721" w:type="dxa"/>
            <w:vAlign w:val="center"/>
          </w:tcPr>
          <w:p w14:paraId="742AE5DC" w14:textId="14B8DD17" w:rsidR="00E87BAD" w:rsidRPr="00BA02FE" w:rsidRDefault="00EB13B1" w:rsidP="00EB13B1">
            <w:pPr>
              <w:jc w:val="center"/>
              <w:rPr>
                <w:noProof/>
                <w:sz w:val="20"/>
                <w:szCs w:val="20"/>
                <w:lang w:val="fr-CA"/>
              </w:rPr>
            </w:pPr>
            <w:r w:rsidRPr="00BA02FE">
              <w:rPr>
                <w:noProof/>
                <w:sz w:val="20"/>
                <w:szCs w:val="20"/>
                <w:lang w:val="fr-CA"/>
              </w:rPr>
              <w:t>NON</w:t>
            </w:r>
          </w:p>
        </w:tc>
        <w:tc>
          <w:tcPr>
            <w:tcW w:w="2610" w:type="dxa"/>
            <w:vAlign w:val="center"/>
          </w:tcPr>
          <w:p w14:paraId="2CC12D3F" w14:textId="65FCDF0A" w:rsidR="00E87BAD" w:rsidRPr="00BA02FE" w:rsidRDefault="00E87BAD" w:rsidP="00EB13B1">
            <w:pPr>
              <w:rPr>
                <w:noProof/>
                <w:sz w:val="20"/>
                <w:szCs w:val="20"/>
                <w:lang w:val="fr-CA"/>
              </w:rPr>
            </w:pPr>
            <w:r w:rsidRPr="00BA02FE">
              <w:rPr>
                <w:noProof/>
                <w:sz w:val="20"/>
                <w:szCs w:val="20"/>
                <w:lang w:val="fr-CA"/>
              </w:rPr>
              <w:t>Règlement selon des accords bilatéraux ou par l’intermédiaire de systèmes d’exécution de swaps (SES) ou de systèmes de compensation centrale dont le cycle de règlement ne sera pas modifié.</w:t>
            </w:r>
          </w:p>
        </w:tc>
      </w:tr>
      <w:tr w:rsidR="00EB13B1" w:rsidRPr="009D62BC" w14:paraId="5BFBDAAD" w14:textId="77777777" w:rsidTr="005838F2">
        <w:tc>
          <w:tcPr>
            <w:tcW w:w="2160" w:type="dxa"/>
          </w:tcPr>
          <w:p w14:paraId="14E0F6BB" w14:textId="36D2A87E" w:rsidR="00EB13B1" w:rsidRPr="00BA02FE" w:rsidRDefault="00EB13B1" w:rsidP="00EB13B1">
            <w:pPr>
              <w:pStyle w:val="ListParagraph"/>
              <w:numPr>
                <w:ilvl w:val="0"/>
                <w:numId w:val="11"/>
              </w:numPr>
              <w:rPr>
                <w:noProof/>
                <w:sz w:val="20"/>
                <w:szCs w:val="20"/>
                <w:lang w:val="fr-CA"/>
              </w:rPr>
            </w:pPr>
            <w:r w:rsidRPr="00BA02FE">
              <w:rPr>
                <w:noProof/>
                <w:sz w:val="20"/>
                <w:szCs w:val="20"/>
                <w:lang w:val="fr-CA"/>
              </w:rPr>
              <w:t>Fonds spéculatifs (privés)</w:t>
            </w:r>
          </w:p>
        </w:tc>
        <w:tc>
          <w:tcPr>
            <w:tcW w:w="3579" w:type="dxa"/>
          </w:tcPr>
          <w:p w14:paraId="15661829" w14:textId="4CE16204" w:rsidR="00EB13B1" w:rsidRPr="00BA02FE" w:rsidRDefault="00EB13B1" w:rsidP="00EB13B1">
            <w:pPr>
              <w:rPr>
                <w:noProof/>
                <w:sz w:val="20"/>
                <w:szCs w:val="20"/>
                <w:lang w:val="fr-CA"/>
              </w:rPr>
            </w:pPr>
            <w:r w:rsidRPr="00BA02FE">
              <w:rPr>
                <w:noProof/>
                <w:sz w:val="20"/>
                <w:szCs w:val="20"/>
                <w:lang w:val="fr-CA"/>
              </w:rPr>
              <w:t>Portefeuille de placements normalement géré de manière agressive, qui utilise des stratégies d’investissement avancées comme des positions à effet de levier, longues, courtes et dérivées sur les marchés nationaux et internationaux, avec pour objectif de générer des rendements élevés (soit dans un sens absolu, soit sur un indice de référence du marché spécifié).</w:t>
            </w:r>
          </w:p>
        </w:tc>
        <w:tc>
          <w:tcPr>
            <w:tcW w:w="2721" w:type="dxa"/>
            <w:vAlign w:val="center"/>
          </w:tcPr>
          <w:p w14:paraId="08B9A787" w14:textId="3EFFE112" w:rsidR="00EB13B1" w:rsidRPr="00BA02FE" w:rsidRDefault="00EB13B1" w:rsidP="00EB13B1">
            <w:pPr>
              <w:jc w:val="center"/>
              <w:rPr>
                <w:noProof/>
                <w:sz w:val="20"/>
                <w:szCs w:val="20"/>
                <w:lang w:val="fr-CA"/>
              </w:rPr>
            </w:pPr>
            <w:r w:rsidRPr="00BA02FE">
              <w:rPr>
                <w:noProof/>
                <w:sz w:val="20"/>
                <w:szCs w:val="20"/>
                <w:lang w:val="fr-CA"/>
              </w:rPr>
              <w:t>Consulter le prospectus</w:t>
            </w:r>
          </w:p>
        </w:tc>
        <w:tc>
          <w:tcPr>
            <w:tcW w:w="2610" w:type="dxa"/>
            <w:vAlign w:val="center"/>
          </w:tcPr>
          <w:p w14:paraId="555C9639" w14:textId="7AC095B8" w:rsidR="00EB13B1" w:rsidRPr="00BA02FE" w:rsidRDefault="00EB13B1" w:rsidP="00EB13B1">
            <w:pPr>
              <w:rPr>
                <w:noProof/>
                <w:sz w:val="20"/>
                <w:szCs w:val="20"/>
                <w:lang w:val="fr-CA"/>
              </w:rPr>
            </w:pPr>
            <w:r w:rsidRPr="00BA02FE">
              <w:rPr>
                <w:noProof/>
                <w:sz w:val="20"/>
                <w:szCs w:val="20"/>
                <w:lang w:val="fr-CA"/>
              </w:rPr>
              <w:t>Au Canada, l’émetteur de ces fonds publie les dispositions afférentes au règlement dans le prospectus ou la notice d’offre.</w:t>
            </w:r>
          </w:p>
        </w:tc>
      </w:tr>
      <w:tr w:rsidR="00EB13B1" w:rsidRPr="009D62BC" w14:paraId="55220F70" w14:textId="77777777" w:rsidTr="005838F2">
        <w:trPr>
          <w:trHeight w:val="1655"/>
        </w:trPr>
        <w:tc>
          <w:tcPr>
            <w:tcW w:w="2160" w:type="dxa"/>
            <w:vMerge w:val="restart"/>
          </w:tcPr>
          <w:p w14:paraId="6801141C" w14:textId="125B082B" w:rsidR="00EB13B1" w:rsidRPr="00BA02FE" w:rsidRDefault="00EB13B1" w:rsidP="00EB13B1">
            <w:pPr>
              <w:pStyle w:val="ListParagraph"/>
              <w:numPr>
                <w:ilvl w:val="0"/>
                <w:numId w:val="11"/>
              </w:numPr>
              <w:rPr>
                <w:noProof/>
                <w:sz w:val="20"/>
                <w:szCs w:val="20"/>
                <w:lang w:val="fr-CA"/>
              </w:rPr>
            </w:pPr>
            <w:r w:rsidRPr="00BA02FE">
              <w:rPr>
                <w:noProof/>
                <w:sz w:val="20"/>
                <w:szCs w:val="20"/>
                <w:lang w:val="fr-CA"/>
              </w:rPr>
              <w:t>Produits structurés</w:t>
            </w:r>
          </w:p>
        </w:tc>
        <w:tc>
          <w:tcPr>
            <w:tcW w:w="3579" w:type="dxa"/>
          </w:tcPr>
          <w:p w14:paraId="0C6D5A48" w14:textId="559780DB" w:rsidR="00EB13B1" w:rsidRPr="00BA02FE" w:rsidRDefault="00EB13B1" w:rsidP="00EB13B1">
            <w:pPr>
              <w:rPr>
                <w:noProof/>
                <w:sz w:val="20"/>
                <w:szCs w:val="20"/>
                <w:lang w:val="fr-CA"/>
              </w:rPr>
            </w:pPr>
            <w:r w:rsidRPr="00BA02FE">
              <w:rPr>
                <w:noProof/>
                <w:sz w:val="20"/>
                <w:szCs w:val="20"/>
                <w:lang w:val="fr-CA"/>
              </w:rPr>
              <w:t>Selon la définition étendue utilisée par les organismes de réglementation (SEC, NASD et NYSE), un « produit structuré » désigne un titre dérivé ou basé sur un autre titre (y compris une obligation), un panier de titres, un indice</w:t>
            </w:r>
            <w:r w:rsidR="00F9348F" w:rsidRPr="00BA02FE">
              <w:rPr>
                <w:noProof/>
                <w:sz w:val="20"/>
                <w:szCs w:val="20"/>
                <w:lang w:val="fr-CA"/>
              </w:rPr>
              <w:t xml:space="preserve"> (par exemple, obligations indexées sur le marché/indices)</w:t>
            </w:r>
            <w:r w:rsidRPr="00BA02FE">
              <w:rPr>
                <w:noProof/>
                <w:sz w:val="20"/>
                <w:szCs w:val="20"/>
                <w:lang w:val="fr-CA"/>
              </w:rPr>
              <w:t xml:space="preserve">, une matière première ou une devise étrangère. Parmi les exemples courants, </w:t>
            </w:r>
            <w:r w:rsidR="000535D0">
              <w:rPr>
                <w:noProof/>
                <w:sz w:val="20"/>
                <w:szCs w:val="20"/>
                <w:lang w:val="fr-CA"/>
              </w:rPr>
              <w:t xml:space="preserve">et outre les FNB indiqués ci-haut pour leur passage à T+1, </w:t>
            </w:r>
            <w:r w:rsidRPr="00BA02FE">
              <w:rPr>
                <w:noProof/>
                <w:sz w:val="20"/>
                <w:szCs w:val="20"/>
                <w:lang w:val="fr-CA"/>
              </w:rPr>
              <w:t>figurent :</w:t>
            </w:r>
          </w:p>
        </w:tc>
        <w:tc>
          <w:tcPr>
            <w:tcW w:w="2721" w:type="dxa"/>
            <w:vAlign w:val="center"/>
          </w:tcPr>
          <w:p w14:paraId="5A2D230B" w14:textId="51258923" w:rsidR="00EB13B1" w:rsidRPr="00BA02FE" w:rsidRDefault="00EB13B1" w:rsidP="00EB13B1">
            <w:pPr>
              <w:jc w:val="center"/>
              <w:rPr>
                <w:noProof/>
                <w:sz w:val="20"/>
                <w:szCs w:val="20"/>
                <w:lang w:val="fr-CA"/>
              </w:rPr>
            </w:pPr>
            <w:r w:rsidRPr="00BA02FE">
              <w:rPr>
                <w:noProof/>
                <w:sz w:val="20"/>
                <w:szCs w:val="20"/>
                <w:lang w:val="fr-CA"/>
              </w:rPr>
              <w:t>Consulter le prospectus</w:t>
            </w:r>
          </w:p>
        </w:tc>
        <w:tc>
          <w:tcPr>
            <w:tcW w:w="2610" w:type="dxa"/>
            <w:vAlign w:val="center"/>
          </w:tcPr>
          <w:p w14:paraId="10A64141" w14:textId="37F6AC24" w:rsidR="00EB13B1" w:rsidRPr="00BA02FE" w:rsidRDefault="00EB13B1" w:rsidP="00EB13B1">
            <w:pPr>
              <w:rPr>
                <w:noProof/>
                <w:sz w:val="20"/>
                <w:szCs w:val="20"/>
                <w:lang w:val="fr-CA"/>
              </w:rPr>
            </w:pPr>
            <w:r w:rsidRPr="00BA02FE">
              <w:rPr>
                <w:noProof/>
                <w:sz w:val="20"/>
                <w:szCs w:val="20"/>
                <w:lang w:val="fr-CA"/>
              </w:rPr>
              <w:t>Se reporter à la disposition relative au règlement dans le prospectus ou la notice d’offre.</w:t>
            </w:r>
          </w:p>
        </w:tc>
      </w:tr>
      <w:tr w:rsidR="00EB13B1" w:rsidRPr="009D62BC" w14:paraId="320E989D" w14:textId="77777777" w:rsidTr="005838F2">
        <w:tc>
          <w:tcPr>
            <w:tcW w:w="2160" w:type="dxa"/>
            <w:vMerge/>
          </w:tcPr>
          <w:p w14:paraId="16B717B4" w14:textId="77777777" w:rsidR="00EB13B1" w:rsidRPr="00BA02FE" w:rsidRDefault="00EB13B1" w:rsidP="00EB13B1">
            <w:pPr>
              <w:pStyle w:val="ListParagraph"/>
              <w:numPr>
                <w:ilvl w:val="0"/>
                <w:numId w:val="11"/>
              </w:numPr>
              <w:rPr>
                <w:noProof/>
                <w:sz w:val="20"/>
                <w:szCs w:val="20"/>
                <w:lang w:val="fr-CA"/>
              </w:rPr>
            </w:pPr>
          </w:p>
        </w:tc>
        <w:tc>
          <w:tcPr>
            <w:tcW w:w="3579" w:type="dxa"/>
          </w:tcPr>
          <w:p w14:paraId="091509F8" w14:textId="1F799AF5" w:rsidR="00EB13B1" w:rsidRPr="00BA02FE" w:rsidRDefault="00EB13B1" w:rsidP="00EB13B1">
            <w:pPr>
              <w:pStyle w:val="ListParagraph"/>
              <w:numPr>
                <w:ilvl w:val="0"/>
                <w:numId w:val="3"/>
              </w:numPr>
              <w:rPr>
                <w:noProof/>
                <w:sz w:val="20"/>
                <w:szCs w:val="20"/>
                <w:lang w:val="fr-CA"/>
              </w:rPr>
            </w:pPr>
            <w:r w:rsidRPr="00BA02FE">
              <w:rPr>
                <w:noProof/>
                <w:sz w:val="20"/>
                <w:szCs w:val="20"/>
                <w:lang w:val="fr-CA"/>
              </w:rPr>
              <w:t>Billets négociés en bourse (BNB)</w:t>
            </w:r>
          </w:p>
        </w:tc>
        <w:tc>
          <w:tcPr>
            <w:tcW w:w="2721" w:type="dxa"/>
            <w:vAlign w:val="center"/>
          </w:tcPr>
          <w:p w14:paraId="072C1DB4" w14:textId="2D042BFD" w:rsidR="00EB13B1" w:rsidRPr="00BA02FE" w:rsidRDefault="009731AD" w:rsidP="00EB13B1">
            <w:pPr>
              <w:jc w:val="center"/>
              <w:rPr>
                <w:noProof/>
                <w:sz w:val="20"/>
                <w:szCs w:val="20"/>
                <w:lang w:val="fr-CA"/>
              </w:rPr>
            </w:pPr>
            <w:r>
              <w:rPr>
                <w:sz w:val="20"/>
                <w:szCs w:val="20"/>
              </w:rPr>
              <w:t>Consulter le</w:t>
            </w:r>
            <w:r w:rsidRPr="005E7942">
              <w:rPr>
                <w:sz w:val="20"/>
                <w:szCs w:val="20"/>
              </w:rPr>
              <w:t xml:space="preserve"> prospectus</w:t>
            </w:r>
          </w:p>
        </w:tc>
        <w:tc>
          <w:tcPr>
            <w:tcW w:w="2610" w:type="dxa"/>
            <w:vAlign w:val="center"/>
          </w:tcPr>
          <w:p w14:paraId="427C351E" w14:textId="41FCABAA" w:rsidR="00EB13B1" w:rsidRPr="00BA02FE" w:rsidRDefault="009731AD" w:rsidP="00EB13B1">
            <w:pPr>
              <w:rPr>
                <w:noProof/>
                <w:sz w:val="20"/>
                <w:szCs w:val="20"/>
                <w:lang w:val="fr-CA"/>
              </w:rPr>
            </w:pPr>
            <w:r w:rsidRPr="009731AD">
              <w:rPr>
                <w:noProof/>
                <w:sz w:val="20"/>
                <w:szCs w:val="20"/>
                <w:lang w:val="fr-CA"/>
              </w:rPr>
              <w:t>Consulter la disposition afférente au règlement dans le prospectus ou la notice d</w:t>
            </w:r>
            <w:r w:rsidR="00C32502">
              <w:rPr>
                <w:noProof/>
                <w:sz w:val="20"/>
                <w:szCs w:val="20"/>
                <w:lang w:val="fr-CA"/>
              </w:rPr>
              <w:t>’</w:t>
            </w:r>
            <w:r w:rsidRPr="009731AD">
              <w:rPr>
                <w:noProof/>
                <w:sz w:val="20"/>
                <w:szCs w:val="20"/>
                <w:lang w:val="fr-CA"/>
              </w:rPr>
              <w:t>offre.</w:t>
            </w:r>
          </w:p>
        </w:tc>
      </w:tr>
      <w:tr w:rsidR="009731AD" w:rsidRPr="009D62BC" w14:paraId="7283F813" w14:textId="77777777" w:rsidTr="005838F2">
        <w:tc>
          <w:tcPr>
            <w:tcW w:w="2160" w:type="dxa"/>
            <w:vMerge/>
          </w:tcPr>
          <w:p w14:paraId="369E6ED1" w14:textId="77777777" w:rsidR="009731AD" w:rsidRPr="00BA02FE" w:rsidRDefault="009731AD" w:rsidP="00EB13B1">
            <w:pPr>
              <w:pStyle w:val="ListParagraph"/>
              <w:numPr>
                <w:ilvl w:val="0"/>
                <w:numId w:val="11"/>
              </w:numPr>
              <w:rPr>
                <w:noProof/>
                <w:sz w:val="20"/>
                <w:szCs w:val="20"/>
                <w:lang w:val="fr-CA"/>
              </w:rPr>
            </w:pPr>
          </w:p>
        </w:tc>
        <w:tc>
          <w:tcPr>
            <w:tcW w:w="3579" w:type="dxa"/>
          </w:tcPr>
          <w:p w14:paraId="770E1D44" w14:textId="02F3E6CA" w:rsidR="009731AD" w:rsidRPr="00BA02FE" w:rsidRDefault="009731AD" w:rsidP="00EB13B1">
            <w:pPr>
              <w:pStyle w:val="ListParagraph"/>
              <w:numPr>
                <w:ilvl w:val="0"/>
                <w:numId w:val="3"/>
              </w:numPr>
              <w:rPr>
                <w:noProof/>
                <w:sz w:val="20"/>
                <w:szCs w:val="20"/>
                <w:lang w:val="fr-CA"/>
              </w:rPr>
            </w:pPr>
            <w:r w:rsidRPr="009731AD">
              <w:rPr>
                <w:noProof/>
                <w:sz w:val="20"/>
                <w:szCs w:val="20"/>
                <w:lang w:val="fr-CA"/>
              </w:rPr>
              <w:t>Marchandises cotées en bourse (</w:t>
            </w:r>
            <w:r>
              <w:rPr>
                <w:noProof/>
                <w:sz w:val="20"/>
                <w:szCs w:val="20"/>
                <w:lang w:val="fr-CA"/>
              </w:rPr>
              <w:t>MCB</w:t>
            </w:r>
            <w:r w:rsidRPr="009731AD">
              <w:rPr>
                <w:noProof/>
                <w:sz w:val="20"/>
                <w:szCs w:val="20"/>
                <w:lang w:val="fr-CA"/>
              </w:rPr>
              <w:t>)</w:t>
            </w:r>
          </w:p>
        </w:tc>
        <w:tc>
          <w:tcPr>
            <w:tcW w:w="2721" w:type="dxa"/>
            <w:vAlign w:val="center"/>
          </w:tcPr>
          <w:p w14:paraId="7385B5A2" w14:textId="4B0195AC" w:rsidR="009731AD" w:rsidRDefault="009731AD" w:rsidP="00EB13B1">
            <w:pPr>
              <w:jc w:val="center"/>
              <w:rPr>
                <w:sz w:val="20"/>
                <w:szCs w:val="20"/>
              </w:rPr>
            </w:pPr>
            <w:r>
              <w:rPr>
                <w:sz w:val="20"/>
                <w:szCs w:val="20"/>
              </w:rPr>
              <w:t>Consulter le</w:t>
            </w:r>
            <w:r w:rsidRPr="005E7942">
              <w:rPr>
                <w:sz w:val="20"/>
                <w:szCs w:val="20"/>
              </w:rPr>
              <w:t xml:space="preserve"> prospectus</w:t>
            </w:r>
          </w:p>
        </w:tc>
        <w:tc>
          <w:tcPr>
            <w:tcW w:w="2610" w:type="dxa"/>
            <w:vAlign w:val="center"/>
          </w:tcPr>
          <w:p w14:paraId="6B95F279" w14:textId="1681CF14" w:rsidR="009731AD" w:rsidRPr="009731AD" w:rsidRDefault="009731AD" w:rsidP="00EB13B1">
            <w:pPr>
              <w:rPr>
                <w:noProof/>
                <w:sz w:val="20"/>
                <w:szCs w:val="20"/>
                <w:lang w:val="fr-CA"/>
              </w:rPr>
            </w:pPr>
            <w:r w:rsidRPr="009731AD">
              <w:rPr>
                <w:noProof/>
                <w:sz w:val="20"/>
                <w:szCs w:val="20"/>
                <w:lang w:val="fr-CA"/>
              </w:rPr>
              <w:t>Consulter la disposition afférente au règlement dans le prospectus ou la notice d</w:t>
            </w:r>
            <w:r w:rsidR="00C32502">
              <w:rPr>
                <w:noProof/>
                <w:sz w:val="20"/>
                <w:szCs w:val="20"/>
                <w:lang w:val="fr-CA"/>
              </w:rPr>
              <w:t>’</w:t>
            </w:r>
            <w:r w:rsidRPr="009731AD">
              <w:rPr>
                <w:noProof/>
                <w:sz w:val="20"/>
                <w:szCs w:val="20"/>
                <w:lang w:val="fr-CA"/>
              </w:rPr>
              <w:t>offre.</w:t>
            </w:r>
          </w:p>
        </w:tc>
      </w:tr>
      <w:tr w:rsidR="00EB13B1" w:rsidRPr="009D62BC" w14:paraId="07CBFD2A" w14:textId="77777777" w:rsidTr="005838F2">
        <w:tc>
          <w:tcPr>
            <w:tcW w:w="2160" w:type="dxa"/>
            <w:vMerge/>
          </w:tcPr>
          <w:p w14:paraId="75019B45" w14:textId="77777777" w:rsidR="00EB13B1" w:rsidRPr="00BA02FE" w:rsidRDefault="00EB13B1" w:rsidP="00EB13B1">
            <w:pPr>
              <w:pStyle w:val="ListParagraph"/>
              <w:numPr>
                <w:ilvl w:val="0"/>
                <w:numId w:val="11"/>
              </w:numPr>
              <w:rPr>
                <w:noProof/>
                <w:sz w:val="20"/>
                <w:szCs w:val="20"/>
                <w:lang w:val="fr-CA"/>
              </w:rPr>
            </w:pPr>
          </w:p>
        </w:tc>
        <w:tc>
          <w:tcPr>
            <w:tcW w:w="3579" w:type="dxa"/>
          </w:tcPr>
          <w:p w14:paraId="59AE96E8" w14:textId="37B2D5CC" w:rsidR="00EB13B1" w:rsidRPr="00BA02FE" w:rsidRDefault="00EB13B1" w:rsidP="00EB13B1">
            <w:pPr>
              <w:pStyle w:val="ListParagraph"/>
              <w:numPr>
                <w:ilvl w:val="0"/>
                <w:numId w:val="3"/>
              </w:numPr>
              <w:rPr>
                <w:noProof/>
                <w:sz w:val="20"/>
                <w:szCs w:val="20"/>
                <w:lang w:val="fr-CA"/>
              </w:rPr>
            </w:pPr>
            <w:r w:rsidRPr="00BA02FE">
              <w:rPr>
                <w:noProof/>
                <w:sz w:val="20"/>
                <w:szCs w:val="20"/>
                <w:lang w:val="fr-CA"/>
              </w:rPr>
              <w:t>Billet de capital à risque (BCR)</w:t>
            </w:r>
          </w:p>
        </w:tc>
        <w:tc>
          <w:tcPr>
            <w:tcW w:w="2721" w:type="dxa"/>
            <w:vAlign w:val="center"/>
          </w:tcPr>
          <w:p w14:paraId="19E03167" w14:textId="43DF5B4C" w:rsidR="00EB13B1" w:rsidRPr="00BA02FE" w:rsidRDefault="006443DD" w:rsidP="00EB13B1">
            <w:pPr>
              <w:jc w:val="center"/>
              <w:rPr>
                <w:noProof/>
                <w:sz w:val="20"/>
                <w:szCs w:val="20"/>
                <w:lang w:val="fr-CA"/>
              </w:rPr>
            </w:pPr>
            <w:r w:rsidRPr="00BA02FE">
              <w:rPr>
                <w:noProof/>
                <w:sz w:val="20"/>
                <w:szCs w:val="20"/>
                <w:lang w:val="fr-CA"/>
              </w:rPr>
              <w:t>Exclus</w:t>
            </w:r>
          </w:p>
        </w:tc>
        <w:tc>
          <w:tcPr>
            <w:tcW w:w="2610" w:type="dxa"/>
            <w:vAlign w:val="center"/>
          </w:tcPr>
          <w:p w14:paraId="48D3FE34" w14:textId="0E0F3F39" w:rsidR="00EB13B1" w:rsidRPr="00BA02FE" w:rsidRDefault="00EB13B1" w:rsidP="00EB13B1">
            <w:pPr>
              <w:rPr>
                <w:noProof/>
                <w:sz w:val="20"/>
                <w:szCs w:val="20"/>
                <w:lang w:val="fr-CA"/>
              </w:rPr>
            </w:pPr>
            <w:r w:rsidRPr="00BA02FE">
              <w:rPr>
                <w:noProof/>
                <w:sz w:val="20"/>
                <w:szCs w:val="20"/>
                <w:lang w:val="fr-CA"/>
              </w:rPr>
              <w:t>Selon l’émetteur; non compensé par la CDS</w:t>
            </w:r>
          </w:p>
        </w:tc>
      </w:tr>
      <w:tr w:rsidR="00EB13B1" w:rsidRPr="009D62BC" w14:paraId="6DE3E31C" w14:textId="77777777" w:rsidTr="005838F2">
        <w:tc>
          <w:tcPr>
            <w:tcW w:w="2160" w:type="dxa"/>
            <w:vMerge/>
          </w:tcPr>
          <w:p w14:paraId="37BBF9CB" w14:textId="77777777" w:rsidR="00EB13B1" w:rsidRPr="00BA02FE" w:rsidRDefault="00EB13B1" w:rsidP="00EB13B1">
            <w:pPr>
              <w:pStyle w:val="ListParagraph"/>
              <w:numPr>
                <w:ilvl w:val="0"/>
                <w:numId w:val="11"/>
              </w:numPr>
              <w:rPr>
                <w:noProof/>
                <w:sz w:val="20"/>
                <w:szCs w:val="20"/>
                <w:lang w:val="fr-CA"/>
              </w:rPr>
            </w:pPr>
          </w:p>
        </w:tc>
        <w:tc>
          <w:tcPr>
            <w:tcW w:w="3579" w:type="dxa"/>
          </w:tcPr>
          <w:p w14:paraId="416AA9CD" w14:textId="3FB30E01" w:rsidR="00EB13B1" w:rsidRPr="00BA02FE" w:rsidRDefault="00EB13B1" w:rsidP="00EB13B1">
            <w:pPr>
              <w:pStyle w:val="ListParagraph"/>
              <w:numPr>
                <w:ilvl w:val="0"/>
                <w:numId w:val="3"/>
              </w:numPr>
              <w:rPr>
                <w:noProof/>
                <w:sz w:val="20"/>
                <w:szCs w:val="20"/>
                <w:lang w:val="fr-CA"/>
              </w:rPr>
            </w:pPr>
            <w:r w:rsidRPr="00BA02FE">
              <w:rPr>
                <w:noProof/>
                <w:sz w:val="20"/>
                <w:szCs w:val="20"/>
                <w:lang w:val="fr-CA"/>
              </w:rPr>
              <w:t>Billets à capital protégé (BCP)</w:t>
            </w:r>
          </w:p>
        </w:tc>
        <w:tc>
          <w:tcPr>
            <w:tcW w:w="2721" w:type="dxa"/>
            <w:vAlign w:val="center"/>
          </w:tcPr>
          <w:p w14:paraId="3400FB22" w14:textId="2225C257" w:rsidR="00EB13B1" w:rsidRPr="00BA02FE" w:rsidRDefault="006443DD" w:rsidP="00EB13B1">
            <w:pPr>
              <w:jc w:val="center"/>
              <w:rPr>
                <w:noProof/>
                <w:sz w:val="20"/>
                <w:szCs w:val="20"/>
                <w:lang w:val="fr-CA"/>
              </w:rPr>
            </w:pPr>
            <w:r w:rsidRPr="00BA02FE">
              <w:rPr>
                <w:noProof/>
                <w:sz w:val="20"/>
                <w:szCs w:val="20"/>
                <w:lang w:val="fr-CA"/>
              </w:rPr>
              <w:t>Exclus</w:t>
            </w:r>
          </w:p>
        </w:tc>
        <w:tc>
          <w:tcPr>
            <w:tcW w:w="2610" w:type="dxa"/>
            <w:vAlign w:val="center"/>
          </w:tcPr>
          <w:p w14:paraId="24AF2324" w14:textId="3B71BC40" w:rsidR="00EB13B1" w:rsidRPr="00BA02FE" w:rsidRDefault="00EB13B1" w:rsidP="00EB13B1">
            <w:pPr>
              <w:rPr>
                <w:noProof/>
                <w:sz w:val="20"/>
                <w:szCs w:val="20"/>
                <w:lang w:val="fr-CA"/>
              </w:rPr>
            </w:pPr>
            <w:r w:rsidRPr="00BA02FE">
              <w:rPr>
                <w:noProof/>
                <w:sz w:val="20"/>
                <w:szCs w:val="20"/>
                <w:lang w:val="fr-CA"/>
              </w:rPr>
              <w:t>Selon l’émetteur; non compensé par la CDS</w:t>
            </w:r>
          </w:p>
        </w:tc>
      </w:tr>
      <w:tr w:rsidR="00EB13B1" w:rsidRPr="009D62BC" w14:paraId="59C1EA40" w14:textId="77777777" w:rsidTr="005838F2">
        <w:tc>
          <w:tcPr>
            <w:tcW w:w="2160" w:type="dxa"/>
            <w:vMerge/>
          </w:tcPr>
          <w:p w14:paraId="5A8C8A81" w14:textId="77777777" w:rsidR="00EB13B1" w:rsidRPr="00BA02FE" w:rsidRDefault="00EB13B1" w:rsidP="00EB13B1">
            <w:pPr>
              <w:pStyle w:val="ListParagraph"/>
              <w:numPr>
                <w:ilvl w:val="0"/>
                <w:numId w:val="11"/>
              </w:numPr>
              <w:rPr>
                <w:noProof/>
                <w:sz w:val="20"/>
                <w:szCs w:val="20"/>
                <w:lang w:val="fr-CA"/>
              </w:rPr>
            </w:pPr>
          </w:p>
        </w:tc>
        <w:tc>
          <w:tcPr>
            <w:tcW w:w="3579" w:type="dxa"/>
          </w:tcPr>
          <w:p w14:paraId="5CAA4EE7" w14:textId="09F10D5D" w:rsidR="00EB13B1" w:rsidRPr="00BA02FE" w:rsidRDefault="00035FF6" w:rsidP="00EB13B1">
            <w:pPr>
              <w:pStyle w:val="ListParagraph"/>
              <w:numPr>
                <w:ilvl w:val="0"/>
                <w:numId w:val="3"/>
              </w:numPr>
              <w:rPr>
                <w:noProof/>
                <w:sz w:val="20"/>
                <w:szCs w:val="20"/>
                <w:lang w:val="fr-CA"/>
              </w:rPr>
            </w:pPr>
            <w:r>
              <w:rPr>
                <w:noProof/>
                <w:sz w:val="20"/>
                <w:szCs w:val="20"/>
                <w:lang w:val="fr-CA"/>
              </w:rPr>
              <w:t>Billets à capital non protégé (BCNP)</w:t>
            </w:r>
          </w:p>
        </w:tc>
        <w:tc>
          <w:tcPr>
            <w:tcW w:w="2721" w:type="dxa"/>
            <w:vAlign w:val="center"/>
          </w:tcPr>
          <w:p w14:paraId="0CA1DE2B" w14:textId="288B3CAF" w:rsidR="00EB13B1" w:rsidRPr="00BA02FE" w:rsidRDefault="00035FF6" w:rsidP="00EB13B1">
            <w:pPr>
              <w:jc w:val="center"/>
              <w:rPr>
                <w:noProof/>
                <w:sz w:val="20"/>
                <w:szCs w:val="20"/>
                <w:lang w:val="fr-CA"/>
              </w:rPr>
            </w:pPr>
            <w:r>
              <w:rPr>
                <w:noProof/>
                <w:sz w:val="20"/>
                <w:szCs w:val="20"/>
                <w:lang w:val="fr-CA"/>
              </w:rPr>
              <w:t>Exclus</w:t>
            </w:r>
          </w:p>
        </w:tc>
        <w:tc>
          <w:tcPr>
            <w:tcW w:w="2610" w:type="dxa"/>
            <w:vAlign w:val="center"/>
          </w:tcPr>
          <w:p w14:paraId="38D4E0D4" w14:textId="4B48740C" w:rsidR="00EB13B1" w:rsidRPr="00BA02FE" w:rsidRDefault="00035FF6" w:rsidP="00EB13B1">
            <w:pPr>
              <w:rPr>
                <w:noProof/>
                <w:sz w:val="20"/>
                <w:szCs w:val="20"/>
                <w:lang w:val="fr-CA"/>
              </w:rPr>
            </w:pPr>
            <w:r w:rsidRPr="00BA02FE">
              <w:rPr>
                <w:noProof/>
                <w:sz w:val="20"/>
                <w:szCs w:val="20"/>
                <w:lang w:val="fr-CA"/>
              </w:rPr>
              <w:t>Selon l’émetteur; non compensé par la CDS</w:t>
            </w:r>
          </w:p>
        </w:tc>
      </w:tr>
      <w:tr w:rsidR="00EB13B1" w:rsidRPr="009D62BC" w14:paraId="57AD8E35" w14:textId="77777777" w:rsidTr="005838F2">
        <w:tc>
          <w:tcPr>
            <w:tcW w:w="2160" w:type="dxa"/>
          </w:tcPr>
          <w:p w14:paraId="7F446CCB" w14:textId="2FDF7F86" w:rsidR="00EB13B1" w:rsidRPr="00BA02FE" w:rsidRDefault="00EB13B1" w:rsidP="00EB13B1">
            <w:pPr>
              <w:pStyle w:val="ListParagraph"/>
              <w:numPr>
                <w:ilvl w:val="0"/>
                <w:numId w:val="11"/>
              </w:numPr>
              <w:rPr>
                <w:noProof/>
                <w:sz w:val="20"/>
                <w:szCs w:val="20"/>
                <w:lang w:val="fr-CA"/>
              </w:rPr>
            </w:pPr>
            <w:r w:rsidRPr="00BA02FE">
              <w:rPr>
                <w:noProof/>
                <w:sz w:val="20"/>
                <w:szCs w:val="20"/>
                <w:lang w:val="fr-CA"/>
              </w:rPr>
              <w:t>Autre produit d’investissement alternatif</w:t>
            </w:r>
          </w:p>
        </w:tc>
        <w:tc>
          <w:tcPr>
            <w:tcW w:w="3579" w:type="dxa"/>
          </w:tcPr>
          <w:p w14:paraId="7F0E95E3" w14:textId="24417AA1" w:rsidR="00EB13B1" w:rsidRPr="00BA02FE" w:rsidRDefault="00EB13B1" w:rsidP="00EB13B1">
            <w:pPr>
              <w:rPr>
                <w:i/>
                <w:noProof/>
                <w:sz w:val="20"/>
                <w:szCs w:val="20"/>
                <w:lang w:val="fr-CA"/>
              </w:rPr>
            </w:pPr>
            <w:r w:rsidRPr="00BA02FE">
              <w:rPr>
                <w:i/>
                <w:noProof/>
                <w:sz w:val="20"/>
                <w:szCs w:val="20"/>
                <w:lang w:val="fr-CA"/>
              </w:rPr>
              <w:t>Espace pour tout produit nouveau ou non identifié</w:t>
            </w:r>
          </w:p>
        </w:tc>
        <w:tc>
          <w:tcPr>
            <w:tcW w:w="2721" w:type="dxa"/>
            <w:vAlign w:val="center"/>
          </w:tcPr>
          <w:p w14:paraId="6D992644" w14:textId="77777777" w:rsidR="00EB13B1" w:rsidRPr="00BA02FE" w:rsidRDefault="00EB13B1" w:rsidP="00EB13B1">
            <w:pPr>
              <w:jc w:val="center"/>
              <w:rPr>
                <w:noProof/>
                <w:sz w:val="20"/>
                <w:szCs w:val="20"/>
                <w:lang w:val="fr-CA"/>
              </w:rPr>
            </w:pPr>
          </w:p>
        </w:tc>
        <w:tc>
          <w:tcPr>
            <w:tcW w:w="2610" w:type="dxa"/>
            <w:vAlign w:val="center"/>
          </w:tcPr>
          <w:p w14:paraId="275DE1D6" w14:textId="77777777" w:rsidR="00EB13B1" w:rsidRPr="00BA02FE" w:rsidRDefault="00EB13B1" w:rsidP="00EB13B1">
            <w:pPr>
              <w:rPr>
                <w:noProof/>
                <w:sz w:val="20"/>
                <w:szCs w:val="20"/>
                <w:lang w:val="fr-CA"/>
              </w:rPr>
            </w:pPr>
          </w:p>
        </w:tc>
      </w:tr>
    </w:tbl>
    <w:p w14:paraId="71FD5159" w14:textId="25BC044B" w:rsidR="001C5048" w:rsidRPr="00BA02FE" w:rsidRDefault="001C5048" w:rsidP="00705771">
      <w:pPr>
        <w:rPr>
          <w:b/>
          <w:noProof/>
          <w:sz w:val="24"/>
          <w:szCs w:val="24"/>
          <w:lang w:val="fr-CA"/>
        </w:rPr>
      </w:pPr>
    </w:p>
    <w:p w14:paraId="4C675C3A" w14:textId="77777777" w:rsidR="00E33D98" w:rsidRPr="00BA02FE" w:rsidRDefault="00E33D98" w:rsidP="00705771">
      <w:pPr>
        <w:ind w:left="90"/>
        <w:rPr>
          <w:b/>
          <w:noProof/>
          <w:sz w:val="24"/>
          <w:szCs w:val="24"/>
          <w:lang w:val="fr-CA"/>
        </w:rPr>
      </w:pPr>
    </w:p>
    <w:p w14:paraId="65E0B24F" w14:textId="77777777" w:rsidR="00E33D98" w:rsidRPr="00BA02FE" w:rsidRDefault="00E33D98" w:rsidP="00705771">
      <w:pPr>
        <w:ind w:left="90"/>
        <w:rPr>
          <w:b/>
          <w:noProof/>
          <w:sz w:val="24"/>
          <w:szCs w:val="24"/>
          <w:lang w:val="fr-CA"/>
        </w:rPr>
        <w:sectPr w:rsidR="00E33D98" w:rsidRPr="00BA02FE" w:rsidSect="00FA791E">
          <w:headerReference w:type="default" r:id="rId8"/>
          <w:footerReference w:type="default" r:id="rId9"/>
          <w:pgSz w:w="12240" w:h="15840"/>
          <w:pgMar w:top="1260" w:right="360" w:bottom="720" w:left="360" w:header="706" w:footer="380" w:gutter="0"/>
          <w:pgNumType w:fmt="numberInDash"/>
          <w:cols w:space="708"/>
          <w:docGrid w:linePitch="381"/>
        </w:sectPr>
      </w:pPr>
    </w:p>
    <w:p w14:paraId="0EB07698" w14:textId="79515815" w:rsidR="00E33D98" w:rsidRPr="00BA02FE" w:rsidRDefault="00025F70" w:rsidP="00875DAC">
      <w:pPr>
        <w:ind w:left="90"/>
        <w:jc w:val="center"/>
        <w:rPr>
          <w:b/>
          <w:noProof/>
          <w:sz w:val="24"/>
          <w:szCs w:val="24"/>
          <w:lang w:val="fr-CA"/>
        </w:rPr>
      </w:pPr>
      <w:r w:rsidRPr="00BA02FE">
        <w:rPr>
          <w:b/>
          <w:noProof/>
          <w:sz w:val="24"/>
          <w:szCs w:val="24"/>
          <w:lang w:val="fr-CA"/>
        </w:rPr>
        <w:lastRenderedPageBreak/>
        <w:t>FONDS ET AUTRES PRODUITS TRAITÉS (VENDUS OU RACHETÉS) PAR L</w:t>
      </w:r>
      <w:r w:rsidR="003D29D6" w:rsidRPr="00BA02FE">
        <w:rPr>
          <w:b/>
          <w:noProof/>
          <w:sz w:val="24"/>
          <w:szCs w:val="24"/>
          <w:lang w:val="fr-CA"/>
        </w:rPr>
        <w:t>’</w:t>
      </w:r>
      <w:r w:rsidRPr="00BA02FE">
        <w:rPr>
          <w:b/>
          <w:noProof/>
          <w:sz w:val="24"/>
          <w:szCs w:val="24"/>
          <w:lang w:val="fr-CA"/>
        </w:rPr>
        <w:t xml:space="preserve">INTERMÉDIAIRE DE </w:t>
      </w:r>
      <w:r w:rsidR="00E33D98" w:rsidRPr="00BA02FE">
        <w:rPr>
          <w:b/>
          <w:noProof/>
          <w:sz w:val="24"/>
          <w:szCs w:val="24"/>
          <w:lang w:val="fr-CA"/>
        </w:rPr>
        <w:t>FUNDSERV</w:t>
      </w:r>
    </w:p>
    <w:p w14:paraId="22C261FD" w14:textId="77777777" w:rsidR="00E33D98" w:rsidRPr="00BA02FE" w:rsidRDefault="00E33D98" w:rsidP="00705771">
      <w:pPr>
        <w:ind w:left="90"/>
        <w:rPr>
          <w:b/>
          <w:noProof/>
          <w:sz w:val="16"/>
          <w:szCs w:val="16"/>
          <w:lang w:val="fr-CA"/>
        </w:rPr>
      </w:pPr>
    </w:p>
    <w:p w14:paraId="1635E64D" w14:textId="7E303DB2" w:rsidR="00E33D98" w:rsidRPr="00BA02FE" w:rsidRDefault="00025F70" w:rsidP="00875DAC">
      <w:pPr>
        <w:ind w:left="90"/>
        <w:jc w:val="center"/>
        <w:rPr>
          <w:b/>
          <w:noProof/>
          <w:sz w:val="24"/>
          <w:szCs w:val="24"/>
          <w:lang w:val="fr-CA"/>
        </w:rPr>
      </w:pPr>
      <w:r w:rsidRPr="00BA02FE">
        <w:rPr>
          <w:b/>
          <w:noProof/>
          <w:sz w:val="24"/>
          <w:szCs w:val="24"/>
          <w:lang w:val="fr-CA"/>
        </w:rPr>
        <w:t>Pour révision par le groupe de travail</w:t>
      </w:r>
      <w:r w:rsidR="00E33D98" w:rsidRPr="00BA02FE">
        <w:rPr>
          <w:b/>
          <w:noProof/>
          <w:sz w:val="24"/>
          <w:szCs w:val="24"/>
          <w:lang w:val="fr-CA"/>
        </w:rPr>
        <w:t xml:space="preserve"> </w:t>
      </w:r>
      <w:r w:rsidR="00424B46" w:rsidRPr="00BA02FE">
        <w:rPr>
          <w:b/>
          <w:noProof/>
          <w:sz w:val="24"/>
          <w:szCs w:val="24"/>
          <w:lang w:val="fr-CA"/>
        </w:rPr>
        <w:t>Fonds communs de placement</w:t>
      </w:r>
      <w:r w:rsidR="003D29D6" w:rsidRPr="00BA02FE">
        <w:rPr>
          <w:b/>
          <w:noProof/>
          <w:sz w:val="24"/>
          <w:szCs w:val="24"/>
          <w:lang w:val="fr-CA"/>
        </w:rPr>
        <w:t> </w:t>
      </w:r>
      <w:r w:rsidRPr="00BA02FE">
        <w:rPr>
          <w:b/>
          <w:noProof/>
          <w:sz w:val="24"/>
          <w:szCs w:val="24"/>
          <w:lang w:val="fr-CA"/>
        </w:rPr>
        <w:t>T+1</w:t>
      </w:r>
    </w:p>
    <w:p w14:paraId="308F1775" w14:textId="77777777" w:rsidR="007E27EB" w:rsidRPr="00BA02FE" w:rsidRDefault="007E27EB" w:rsidP="00705771">
      <w:pPr>
        <w:ind w:left="90"/>
        <w:rPr>
          <w:b/>
          <w:noProof/>
          <w:sz w:val="16"/>
          <w:szCs w:val="16"/>
          <w:lang w:val="fr-CA"/>
        </w:rPr>
      </w:pPr>
    </w:p>
    <w:p w14:paraId="69A2586D" w14:textId="0003E2B0" w:rsidR="00D93444" w:rsidRPr="00BA02FE" w:rsidRDefault="004B0C03" w:rsidP="00705771">
      <w:pPr>
        <w:ind w:left="90"/>
        <w:rPr>
          <w:noProof/>
          <w:sz w:val="20"/>
          <w:szCs w:val="20"/>
          <w:lang w:val="fr-CA"/>
        </w:rPr>
      </w:pPr>
      <w:r w:rsidRPr="00BA02FE">
        <w:rPr>
          <w:b/>
          <w:noProof/>
          <w:sz w:val="20"/>
          <w:szCs w:val="20"/>
          <w:lang w:val="fr-CA"/>
        </w:rPr>
        <w:t>Note</w:t>
      </w:r>
      <w:r w:rsidR="00FE00B6" w:rsidRPr="00BA02FE">
        <w:rPr>
          <w:b/>
          <w:noProof/>
          <w:sz w:val="20"/>
          <w:szCs w:val="20"/>
          <w:lang w:val="fr-CA"/>
        </w:rPr>
        <w:t xml:space="preserve"> </w:t>
      </w:r>
      <w:r w:rsidR="0043123F" w:rsidRPr="00BA02FE">
        <w:rPr>
          <w:b/>
          <w:noProof/>
          <w:sz w:val="20"/>
          <w:szCs w:val="20"/>
          <w:lang w:val="fr-CA"/>
        </w:rPr>
        <w:t>:</w:t>
      </w:r>
      <w:r w:rsidR="0043123F" w:rsidRPr="00BA02FE">
        <w:rPr>
          <w:noProof/>
          <w:sz w:val="20"/>
          <w:szCs w:val="20"/>
          <w:lang w:val="fr-CA"/>
        </w:rPr>
        <w:t xml:space="preserve">  </w:t>
      </w:r>
      <w:r w:rsidR="000C4334" w:rsidRPr="00BA02FE">
        <w:rPr>
          <w:noProof/>
          <w:sz w:val="20"/>
          <w:szCs w:val="20"/>
          <w:lang w:val="fr-CA"/>
        </w:rPr>
        <w:t>Afin de faciliter la tâche des évaluateurs de produits de fonds, les lignes suivantes ont été extraites du tableau ci-haut et regroupées pour un examen plus aisé avec d</w:t>
      </w:r>
      <w:r w:rsidR="003D29D6" w:rsidRPr="00BA02FE">
        <w:rPr>
          <w:noProof/>
          <w:sz w:val="20"/>
          <w:szCs w:val="20"/>
          <w:lang w:val="fr-CA"/>
        </w:rPr>
        <w:t>’</w:t>
      </w:r>
      <w:r w:rsidR="000C4334" w:rsidRPr="00BA02FE">
        <w:rPr>
          <w:noProof/>
          <w:sz w:val="20"/>
          <w:szCs w:val="20"/>
          <w:lang w:val="fr-CA"/>
        </w:rPr>
        <w:t xml:space="preserve">autres types de fonds non négociés en bourse. En outre, certains produits sont </w:t>
      </w:r>
      <w:r w:rsidR="003D29D6" w:rsidRPr="00BA02FE">
        <w:rPr>
          <w:noProof/>
          <w:sz w:val="20"/>
          <w:szCs w:val="20"/>
          <w:lang w:val="fr-CA"/>
        </w:rPr>
        <w:t>« </w:t>
      </w:r>
      <w:r w:rsidR="000C4334" w:rsidRPr="00BA02FE">
        <w:rPr>
          <w:noProof/>
          <w:sz w:val="20"/>
          <w:szCs w:val="20"/>
          <w:lang w:val="fr-CA"/>
        </w:rPr>
        <w:t>similaires à des fonds</w:t>
      </w:r>
      <w:r w:rsidR="003D29D6" w:rsidRPr="00BA02FE">
        <w:rPr>
          <w:noProof/>
          <w:sz w:val="20"/>
          <w:szCs w:val="20"/>
          <w:lang w:val="fr-CA"/>
        </w:rPr>
        <w:t> »</w:t>
      </w:r>
      <w:r w:rsidR="000C4334" w:rsidRPr="00BA02FE">
        <w:rPr>
          <w:noProof/>
          <w:sz w:val="20"/>
          <w:szCs w:val="20"/>
          <w:lang w:val="fr-CA"/>
        </w:rPr>
        <w:t xml:space="preserve"> et/ou sont également traités par Fundserv, comme les </w:t>
      </w:r>
      <w:r w:rsidR="00424B46" w:rsidRPr="00BA02FE">
        <w:rPr>
          <w:noProof/>
          <w:sz w:val="20"/>
          <w:szCs w:val="20"/>
          <w:lang w:val="fr-CA"/>
        </w:rPr>
        <w:t>FPI</w:t>
      </w:r>
      <w:r w:rsidR="000C4334" w:rsidRPr="00BA02FE">
        <w:rPr>
          <w:noProof/>
          <w:sz w:val="20"/>
          <w:szCs w:val="20"/>
          <w:lang w:val="fr-CA"/>
        </w:rPr>
        <w:t xml:space="preserve">, les parts, les fonds intégrés, les CPG et les </w:t>
      </w:r>
      <w:r w:rsidR="00424B46" w:rsidRPr="00BA02FE">
        <w:rPr>
          <w:noProof/>
          <w:sz w:val="20"/>
          <w:szCs w:val="20"/>
          <w:lang w:val="fr-CA"/>
        </w:rPr>
        <w:t>CÉIÉ</w:t>
      </w:r>
      <w:r w:rsidR="000C4334" w:rsidRPr="00BA02FE">
        <w:rPr>
          <w:noProof/>
          <w:sz w:val="20"/>
          <w:szCs w:val="20"/>
          <w:lang w:val="fr-CA"/>
        </w:rPr>
        <w:t>. Les fonds qui se négocient sur une bourse (p. ex., un fonds négocié en bourse) ou sur une autre plateforme sont réglés actuellement à T+2 et passeront au règlement à T+1 aux États-Unis.</w:t>
      </w:r>
    </w:p>
    <w:p w14:paraId="142737C6" w14:textId="77777777" w:rsidR="00D93444" w:rsidRPr="00BA02FE" w:rsidRDefault="00D93444" w:rsidP="00705771">
      <w:pPr>
        <w:rPr>
          <w:noProof/>
          <w:color w:val="FF0000"/>
          <w:sz w:val="16"/>
          <w:szCs w:val="16"/>
          <w:lang w:val="fr-CA"/>
        </w:rPr>
      </w:pPr>
    </w:p>
    <w:tbl>
      <w:tblPr>
        <w:tblStyle w:val="TableGrid"/>
        <w:tblW w:w="11441" w:type="dxa"/>
        <w:tblInd w:w="85" w:type="dxa"/>
        <w:tblLayout w:type="fixed"/>
        <w:tblLook w:val="04A0" w:firstRow="1" w:lastRow="0" w:firstColumn="1" w:lastColumn="0" w:noHBand="0" w:noVBand="1"/>
      </w:tblPr>
      <w:tblGrid>
        <w:gridCol w:w="2067"/>
        <w:gridCol w:w="3779"/>
        <w:gridCol w:w="2524"/>
        <w:gridCol w:w="3062"/>
        <w:gridCol w:w="9"/>
      </w:tblGrid>
      <w:tr w:rsidR="00C4445D" w:rsidRPr="00BA02FE" w14:paraId="2BC6B14C" w14:textId="77777777" w:rsidTr="00BF5975">
        <w:trPr>
          <w:gridAfter w:val="1"/>
          <w:wAfter w:w="9" w:type="dxa"/>
          <w:tblHeader/>
        </w:trPr>
        <w:tc>
          <w:tcPr>
            <w:tcW w:w="2067" w:type="dxa"/>
          </w:tcPr>
          <w:p w14:paraId="3F93692B" w14:textId="2E8391B3" w:rsidR="00C4445D" w:rsidRPr="00BA02FE" w:rsidRDefault="00BC68A0" w:rsidP="00705771">
            <w:pPr>
              <w:rPr>
                <w:b/>
                <w:noProof/>
                <w:sz w:val="20"/>
                <w:szCs w:val="20"/>
                <w:lang w:val="fr-CA"/>
              </w:rPr>
            </w:pPr>
            <w:r w:rsidRPr="00BA02FE">
              <w:rPr>
                <w:b/>
                <w:noProof/>
                <w:sz w:val="20"/>
                <w:szCs w:val="20"/>
                <w:lang w:val="fr-CA"/>
              </w:rPr>
              <w:t>Catégorie de titre</w:t>
            </w:r>
          </w:p>
        </w:tc>
        <w:tc>
          <w:tcPr>
            <w:tcW w:w="3779" w:type="dxa"/>
          </w:tcPr>
          <w:p w14:paraId="15365FFB" w14:textId="77777777" w:rsidR="00C4445D" w:rsidRPr="00BA02FE" w:rsidRDefault="00C4445D" w:rsidP="00705771">
            <w:pPr>
              <w:rPr>
                <w:b/>
                <w:noProof/>
                <w:sz w:val="20"/>
                <w:szCs w:val="20"/>
                <w:lang w:val="fr-CA"/>
              </w:rPr>
            </w:pPr>
            <w:r w:rsidRPr="00BA02FE">
              <w:rPr>
                <w:b/>
                <w:noProof/>
                <w:sz w:val="20"/>
                <w:szCs w:val="20"/>
                <w:lang w:val="fr-CA"/>
              </w:rPr>
              <w:t>Description</w:t>
            </w:r>
          </w:p>
        </w:tc>
        <w:tc>
          <w:tcPr>
            <w:tcW w:w="2524" w:type="dxa"/>
          </w:tcPr>
          <w:p w14:paraId="620CCCFD" w14:textId="18F6B7E2" w:rsidR="00C4445D" w:rsidRPr="00BA02FE" w:rsidRDefault="009B7A8A" w:rsidP="00705771">
            <w:pPr>
              <w:rPr>
                <w:b/>
                <w:noProof/>
                <w:sz w:val="20"/>
                <w:szCs w:val="20"/>
                <w:lang w:val="fr-CA"/>
              </w:rPr>
            </w:pPr>
            <w:r w:rsidRPr="00BA02FE">
              <w:rPr>
                <w:b/>
                <w:noProof/>
                <w:sz w:val="20"/>
                <w:szCs w:val="20"/>
                <w:lang w:val="fr-CA"/>
              </w:rPr>
              <w:t>Raccourcir</w:t>
            </w:r>
            <w:r w:rsidR="00BC68A0" w:rsidRPr="00BA02FE">
              <w:rPr>
                <w:b/>
                <w:noProof/>
                <w:sz w:val="20"/>
                <w:szCs w:val="20"/>
                <w:lang w:val="fr-CA"/>
              </w:rPr>
              <w:t xml:space="preserve"> à</w:t>
            </w:r>
            <w:r w:rsidR="00637301" w:rsidRPr="00BA02FE">
              <w:rPr>
                <w:b/>
                <w:noProof/>
                <w:sz w:val="20"/>
                <w:szCs w:val="20"/>
                <w:lang w:val="fr-CA"/>
              </w:rPr>
              <w:t xml:space="preserve"> </w:t>
            </w:r>
            <w:r w:rsidR="00C4445D" w:rsidRPr="00BA02FE">
              <w:rPr>
                <w:b/>
                <w:noProof/>
                <w:sz w:val="20"/>
                <w:szCs w:val="20"/>
                <w:lang w:val="fr-CA"/>
              </w:rPr>
              <w:t>T+</w:t>
            </w:r>
            <w:r w:rsidR="00D711A6" w:rsidRPr="00BA02FE">
              <w:rPr>
                <w:b/>
                <w:noProof/>
                <w:sz w:val="20"/>
                <w:szCs w:val="20"/>
                <w:lang w:val="fr-CA"/>
              </w:rPr>
              <w:t>1</w:t>
            </w:r>
            <w:r w:rsidR="00C4445D" w:rsidRPr="00BA02FE">
              <w:rPr>
                <w:b/>
                <w:noProof/>
                <w:sz w:val="20"/>
                <w:szCs w:val="20"/>
                <w:lang w:val="fr-CA"/>
              </w:rPr>
              <w:t>?</w:t>
            </w:r>
            <w:r w:rsidR="00C4445D" w:rsidRPr="00BA02FE" w:rsidDel="009258DA">
              <w:rPr>
                <w:b/>
                <w:noProof/>
                <w:sz w:val="20"/>
                <w:szCs w:val="20"/>
                <w:lang w:val="fr-CA"/>
              </w:rPr>
              <w:t xml:space="preserve"> </w:t>
            </w:r>
            <w:r w:rsidR="00BC68A0" w:rsidRPr="00BA02FE">
              <w:rPr>
                <w:b/>
                <w:noProof/>
                <w:sz w:val="20"/>
                <w:szCs w:val="20"/>
                <w:lang w:val="fr-CA"/>
              </w:rPr>
              <w:t>Oui/Non</w:t>
            </w:r>
          </w:p>
        </w:tc>
        <w:tc>
          <w:tcPr>
            <w:tcW w:w="3062" w:type="dxa"/>
          </w:tcPr>
          <w:p w14:paraId="2020F794" w14:textId="6A97DBDA" w:rsidR="00C4445D" w:rsidRPr="00BA02FE" w:rsidRDefault="00C4445D" w:rsidP="00705771">
            <w:pPr>
              <w:rPr>
                <w:b/>
                <w:noProof/>
                <w:sz w:val="20"/>
                <w:szCs w:val="20"/>
                <w:lang w:val="fr-CA"/>
              </w:rPr>
            </w:pPr>
            <w:r w:rsidRPr="00BA02FE">
              <w:rPr>
                <w:b/>
                <w:noProof/>
                <w:sz w:val="20"/>
                <w:szCs w:val="20"/>
                <w:lang w:val="fr-CA"/>
              </w:rPr>
              <w:t>Comment</w:t>
            </w:r>
            <w:r w:rsidR="00BC68A0" w:rsidRPr="00BA02FE">
              <w:rPr>
                <w:b/>
                <w:noProof/>
                <w:sz w:val="20"/>
                <w:szCs w:val="20"/>
                <w:lang w:val="fr-CA"/>
              </w:rPr>
              <w:t>aire</w:t>
            </w:r>
            <w:r w:rsidRPr="00BA02FE">
              <w:rPr>
                <w:b/>
                <w:noProof/>
                <w:sz w:val="20"/>
                <w:szCs w:val="20"/>
                <w:lang w:val="fr-CA"/>
              </w:rPr>
              <w:t>s</w:t>
            </w:r>
          </w:p>
        </w:tc>
      </w:tr>
      <w:tr w:rsidR="00C4445D" w:rsidRPr="00BA02FE" w14:paraId="29AB3AD5" w14:textId="77777777" w:rsidTr="008C059D">
        <w:tc>
          <w:tcPr>
            <w:tcW w:w="11441" w:type="dxa"/>
            <w:gridSpan w:val="5"/>
            <w:tcBorders>
              <w:bottom w:val="single" w:sz="6" w:space="0" w:color="auto"/>
            </w:tcBorders>
          </w:tcPr>
          <w:p w14:paraId="008C83DC" w14:textId="00ACA0B8" w:rsidR="00C4445D" w:rsidRPr="00BA02FE" w:rsidRDefault="00BC68A0" w:rsidP="00705771">
            <w:pPr>
              <w:jc w:val="center"/>
              <w:rPr>
                <w:b/>
                <w:noProof/>
                <w:sz w:val="24"/>
                <w:szCs w:val="24"/>
                <w:lang w:val="fr-CA"/>
              </w:rPr>
            </w:pPr>
            <w:r w:rsidRPr="00BA02FE">
              <w:rPr>
                <w:b/>
                <w:noProof/>
                <w:color w:val="FF0000"/>
                <w:sz w:val="24"/>
                <w:szCs w:val="24"/>
                <w:lang w:val="fr-CA"/>
              </w:rPr>
              <w:t xml:space="preserve">Fonds </w:t>
            </w:r>
            <w:r w:rsidR="009B7A8A" w:rsidRPr="00BA02FE">
              <w:rPr>
                <w:b/>
                <w:noProof/>
                <w:color w:val="FF0000"/>
                <w:sz w:val="24"/>
                <w:szCs w:val="24"/>
                <w:lang w:val="fr-CA"/>
              </w:rPr>
              <w:t>de placement</w:t>
            </w:r>
          </w:p>
        </w:tc>
      </w:tr>
      <w:tr w:rsidR="00D75531" w:rsidRPr="00BA02FE" w14:paraId="250E57E9" w14:textId="77777777" w:rsidTr="008C059D">
        <w:trPr>
          <w:gridAfter w:val="1"/>
          <w:wAfter w:w="9" w:type="dxa"/>
        </w:trPr>
        <w:tc>
          <w:tcPr>
            <w:tcW w:w="2067" w:type="dxa"/>
            <w:tcBorders>
              <w:top w:val="single" w:sz="6" w:space="0" w:color="auto"/>
            </w:tcBorders>
          </w:tcPr>
          <w:p w14:paraId="561A8A97" w14:textId="77DD342D" w:rsidR="00D75531" w:rsidRPr="00BA02FE" w:rsidRDefault="00D449F7" w:rsidP="005838F2">
            <w:pPr>
              <w:pStyle w:val="ListParagraph"/>
              <w:tabs>
                <w:tab w:val="left" w:pos="345"/>
              </w:tabs>
              <w:ind w:left="345" w:hanging="345"/>
              <w:rPr>
                <w:noProof/>
                <w:sz w:val="20"/>
                <w:szCs w:val="20"/>
                <w:lang w:val="fr-CA"/>
              </w:rPr>
            </w:pPr>
            <w:r>
              <w:rPr>
                <w:noProof/>
                <w:sz w:val="20"/>
                <w:szCs w:val="20"/>
                <w:lang w:val="fr-CA"/>
              </w:rPr>
              <w:t xml:space="preserve">3. </w:t>
            </w:r>
            <w:r w:rsidR="005838F2">
              <w:rPr>
                <w:noProof/>
                <w:sz w:val="20"/>
                <w:szCs w:val="20"/>
                <w:lang w:val="fr-CA"/>
              </w:rPr>
              <w:tab/>
            </w:r>
            <w:r w:rsidR="00D75531" w:rsidRPr="00BA02FE">
              <w:rPr>
                <w:noProof/>
                <w:sz w:val="20"/>
                <w:szCs w:val="20"/>
                <w:lang w:val="fr-CA"/>
              </w:rPr>
              <w:t>Comptes d’épargne à intérêt élevé (CÉIÉ)</w:t>
            </w:r>
          </w:p>
        </w:tc>
        <w:tc>
          <w:tcPr>
            <w:tcW w:w="3779" w:type="dxa"/>
            <w:tcBorders>
              <w:top w:val="single" w:sz="6" w:space="0" w:color="auto"/>
            </w:tcBorders>
          </w:tcPr>
          <w:p w14:paraId="5343B32C" w14:textId="48366A1D" w:rsidR="00D75531" w:rsidRPr="00BA02FE" w:rsidRDefault="00D75531" w:rsidP="00D75531">
            <w:pPr>
              <w:rPr>
                <w:noProof/>
                <w:sz w:val="20"/>
                <w:szCs w:val="20"/>
                <w:lang w:val="fr-CA"/>
              </w:rPr>
            </w:pPr>
            <w:r w:rsidRPr="00BA02FE">
              <w:rPr>
                <w:noProof/>
                <w:sz w:val="20"/>
                <w:szCs w:val="20"/>
                <w:lang w:val="fr-CA"/>
              </w:rPr>
              <w:t>Il est présumé que tous les CÉIÉ procurent une liquidité en temps opportun (totale ou partielle).</w:t>
            </w:r>
          </w:p>
        </w:tc>
        <w:tc>
          <w:tcPr>
            <w:tcW w:w="2524" w:type="dxa"/>
            <w:tcBorders>
              <w:top w:val="single" w:sz="6" w:space="0" w:color="auto"/>
            </w:tcBorders>
            <w:vAlign w:val="center"/>
          </w:tcPr>
          <w:p w14:paraId="673D8389" w14:textId="6A91C528" w:rsidR="00D75531" w:rsidRPr="00BA02FE" w:rsidRDefault="00D75531" w:rsidP="00FA791E">
            <w:pPr>
              <w:jc w:val="center"/>
              <w:rPr>
                <w:noProof/>
                <w:sz w:val="20"/>
                <w:szCs w:val="20"/>
                <w:lang w:val="fr-CA"/>
              </w:rPr>
            </w:pPr>
            <w:r w:rsidRPr="00BA02FE">
              <w:rPr>
                <w:noProof/>
                <w:sz w:val="20"/>
                <w:szCs w:val="20"/>
                <w:lang w:val="fr-CA"/>
              </w:rPr>
              <w:t>NON</w:t>
            </w:r>
          </w:p>
        </w:tc>
        <w:tc>
          <w:tcPr>
            <w:tcW w:w="3062" w:type="dxa"/>
            <w:tcBorders>
              <w:top w:val="single" w:sz="6" w:space="0" w:color="auto"/>
            </w:tcBorders>
            <w:vAlign w:val="center"/>
          </w:tcPr>
          <w:p w14:paraId="3DEC15D5" w14:textId="75457B93" w:rsidR="00D75531" w:rsidRPr="00BA02FE" w:rsidRDefault="00D75531" w:rsidP="00D75531">
            <w:pPr>
              <w:rPr>
                <w:noProof/>
                <w:sz w:val="20"/>
                <w:szCs w:val="20"/>
                <w:lang w:val="fr-CA"/>
              </w:rPr>
            </w:pPr>
            <w:r w:rsidRPr="00BA02FE">
              <w:rPr>
                <w:noProof/>
                <w:sz w:val="20"/>
                <w:szCs w:val="20"/>
                <w:lang w:val="fr-CA"/>
              </w:rPr>
              <w:t xml:space="preserve">Déjà au règlement T+1 </w:t>
            </w:r>
          </w:p>
        </w:tc>
      </w:tr>
      <w:tr w:rsidR="00D75531" w:rsidRPr="00BA02FE" w14:paraId="66E90702" w14:textId="77777777" w:rsidTr="008C059D">
        <w:trPr>
          <w:gridAfter w:val="1"/>
          <w:wAfter w:w="9" w:type="dxa"/>
        </w:trPr>
        <w:tc>
          <w:tcPr>
            <w:tcW w:w="2067" w:type="dxa"/>
          </w:tcPr>
          <w:p w14:paraId="28FCC1CB" w14:textId="76F0B88D" w:rsidR="00D75531" w:rsidRPr="00BA02FE" w:rsidRDefault="00D449F7" w:rsidP="005838F2">
            <w:pPr>
              <w:pStyle w:val="ListParagraph"/>
              <w:tabs>
                <w:tab w:val="left" w:pos="720"/>
              </w:tabs>
              <w:ind w:left="345" w:hanging="345"/>
              <w:rPr>
                <w:noProof/>
                <w:sz w:val="20"/>
                <w:szCs w:val="20"/>
                <w:lang w:val="fr-CA"/>
              </w:rPr>
            </w:pPr>
            <w:r>
              <w:rPr>
                <w:noProof/>
                <w:sz w:val="20"/>
                <w:szCs w:val="20"/>
                <w:lang w:val="fr-CA"/>
              </w:rPr>
              <w:t xml:space="preserve">4. </w:t>
            </w:r>
            <w:r w:rsidR="005838F2">
              <w:rPr>
                <w:noProof/>
                <w:sz w:val="20"/>
                <w:szCs w:val="20"/>
                <w:lang w:val="fr-CA"/>
              </w:rPr>
              <w:tab/>
            </w:r>
            <w:r w:rsidR="00D75531" w:rsidRPr="00BA02FE">
              <w:rPr>
                <w:noProof/>
                <w:sz w:val="20"/>
                <w:szCs w:val="20"/>
                <w:lang w:val="fr-CA"/>
              </w:rPr>
              <w:t>Fonds du marché monétaire</w:t>
            </w:r>
          </w:p>
        </w:tc>
        <w:tc>
          <w:tcPr>
            <w:tcW w:w="3779" w:type="dxa"/>
          </w:tcPr>
          <w:p w14:paraId="03A34182" w14:textId="4DD6EEF8" w:rsidR="00D75531" w:rsidRPr="00BA02FE" w:rsidRDefault="00D75531" w:rsidP="00D75531">
            <w:pPr>
              <w:rPr>
                <w:noProof/>
                <w:sz w:val="20"/>
                <w:szCs w:val="20"/>
                <w:lang w:val="fr-CA"/>
              </w:rPr>
            </w:pPr>
            <w:r w:rsidRPr="00BA02FE">
              <w:rPr>
                <w:noProof/>
                <w:sz w:val="20"/>
                <w:szCs w:val="20"/>
                <w:lang w:val="fr-CA"/>
              </w:rPr>
              <w:t>Comprennent les fonds négociés en bourse (FNB) et les fonds à capital fixe du marché monétaire composés de titres à court terme ou à échéance de moins d’un an.</w:t>
            </w:r>
          </w:p>
        </w:tc>
        <w:tc>
          <w:tcPr>
            <w:tcW w:w="2524" w:type="dxa"/>
            <w:vAlign w:val="center"/>
          </w:tcPr>
          <w:p w14:paraId="2914CF43" w14:textId="499A8399" w:rsidR="00D75531" w:rsidRPr="00BA02FE" w:rsidRDefault="00D75531" w:rsidP="00FA791E">
            <w:pPr>
              <w:jc w:val="center"/>
              <w:rPr>
                <w:noProof/>
                <w:sz w:val="20"/>
                <w:szCs w:val="20"/>
                <w:lang w:val="fr-CA"/>
              </w:rPr>
            </w:pPr>
            <w:r w:rsidRPr="00BA02FE">
              <w:rPr>
                <w:noProof/>
                <w:sz w:val="20"/>
                <w:szCs w:val="20"/>
                <w:lang w:val="fr-CA"/>
              </w:rPr>
              <w:t>NON</w:t>
            </w:r>
          </w:p>
        </w:tc>
        <w:tc>
          <w:tcPr>
            <w:tcW w:w="3062" w:type="dxa"/>
            <w:vAlign w:val="center"/>
          </w:tcPr>
          <w:p w14:paraId="1E6013EC" w14:textId="47B766D0" w:rsidR="00D75531" w:rsidRPr="00BA02FE" w:rsidRDefault="00D75531" w:rsidP="00D75531">
            <w:pPr>
              <w:rPr>
                <w:noProof/>
                <w:sz w:val="20"/>
                <w:szCs w:val="20"/>
                <w:lang w:val="fr-CA"/>
              </w:rPr>
            </w:pPr>
            <w:r w:rsidRPr="00BA02FE">
              <w:rPr>
                <w:noProof/>
                <w:sz w:val="20"/>
                <w:szCs w:val="20"/>
                <w:lang w:val="fr-CA"/>
              </w:rPr>
              <w:t>Déjà au règlement T+1</w:t>
            </w:r>
          </w:p>
        </w:tc>
      </w:tr>
      <w:tr w:rsidR="00FA791E" w:rsidRPr="009D62BC" w14:paraId="78564AE5" w14:textId="77777777" w:rsidTr="008C059D">
        <w:trPr>
          <w:gridAfter w:val="1"/>
          <w:wAfter w:w="9" w:type="dxa"/>
        </w:trPr>
        <w:tc>
          <w:tcPr>
            <w:tcW w:w="2067" w:type="dxa"/>
            <w:vMerge w:val="restart"/>
          </w:tcPr>
          <w:p w14:paraId="005E2A9A" w14:textId="07E656A8" w:rsidR="00FA791E" w:rsidRPr="00BA02FE" w:rsidRDefault="00FA791E" w:rsidP="00D75531">
            <w:pPr>
              <w:ind w:left="345" w:hanging="360"/>
              <w:rPr>
                <w:noProof/>
                <w:sz w:val="20"/>
                <w:szCs w:val="20"/>
                <w:lang w:val="fr-CA"/>
              </w:rPr>
            </w:pPr>
            <w:r w:rsidRPr="00BA02FE">
              <w:rPr>
                <w:noProof/>
                <w:sz w:val="20"/>
                <w:szCs w:val="20"/>
                <w:lang w:val="fr-CA"/>
              </w:rPr>
              <w:t>10.</w:t>
            </w:r>
            <w:r w:rsidRPr="00BA02FE">
              <w:rPr>
                <w:noProof/>
                <w:sz w:val="20"/>
                <w:szCs w:val="20"/>
                <w:lang w:val="fr-CA"/>
              </w:rPr>
              <w:tab/>
              <w:t>Fonds à revenu fixe</w:t>
            </w:r>
          </w:p>
          <w:p w14:paraId="2A970EB3" w14:textId="559E88A7" w:rsidR="00FA791E" w:rsidRPr="00BA02FE" w:rsidRDefault="00FA791E" w:rsidP="00D75531">
            <w:pPr>
              <w:ind w:left="345" w:hanging="360"/>
              <w:rPr>
                <w:noProof/>
                <w:sz w:val="20"/>
                <w:szCs w:val="20"/>
                <w:lang w:val="fr-CA"/>
              </w:rPr>
            </w:pPr>
            <w:r w:rsidRPr="00BA02FE">
              <w:rPr>
                <w:noProof/>
                <w:sz w:val="20"/>
                <w:szCs w:val="20"/>
                <w:lang w:val="fr-CA"/>
              </w:rPr>
              <w:t>18.</w:t>
            </w:r>
            <w:r w:rsidRPr="00BA02FE">
              <w:rPr>
                <w:noProof/>
                <w:sz w:val="20"/>
                <w:szCs w:val="20"/>
                <w:lang w:val="fr-CA"/>
              </w:rPr>
              <w:tab/>
              <w:t>Fonds d’actions</w:t>
            </w:r>
          </w:p>
          <w:p w14:paraId="785F01A9" w14:textId="77777777" w:rsidR="00FA791E" w:rsidRPr="00BA02FE" w:rsidRDefault="00FA791E" w:rsidP="00D75531">
            <w:pPr>
              <w:ind w:left="345" w:hanging="360"/>
              <w:rPr>
                <w:noProof/>
                <w:sz w:val="20"/>
                <w:szCs w:val="20"/>
                <w:lang w:val="fr-CA"/>
              </w:rPr>
            </w:pPr>
            <w:r w:rsidRPr="00BA02FE">
              <w:rPr>
                <w:noProof/>
                <w:sz w:val="20"/>
                <w:szCs w:val="20"/>
                <w:lang w:val="fr-CA"/>
              </w:rPr>
              <w:t>31.</w:t>
            </w:r>
            <w:r w:rsidRPr="00BA02FE">
              <w:rPr>
                <w:noProof/>
                <w:sz w:val="20"/>
                <w:szCs w:val="20"/>
                <w:lang w:val="fr-CA"/>
              </w:rPr>
              <w:tab/>
              <w:t>Fonds équilibrés</w:t>
            </w:r>
          </w:p>
          <w:p w14:paraId="4284B4C4" w14:textId="094D23EA" w:rsidR="00FA791E" w:rsidRPr="00BA02FE" w:rsidRDefault="00FA791E" w:rsidP="00D75531">
            <w:pPr>
              <w:ind w:left="345" w:hanging="360"/>
              <w:rPr>
                <w:noProof/>
                <w:sz w:val="20"/>
                <w:szCs w:val="20"/>
                <w:lang w:val="fr-CA"/>
              </w:rPr>
            </w:pPr>
            <w:r w:rsidRPr="00BA02FE">
              <w:rPr>
                <w:noProof/>
                <w:sz w:val="20"/>
                <w:szCs w:val="20"/>
                <w:lang w:val="fr-CA"/>
              </w:rPr>
              <w:t>Et autres</w:t>
            </w:r>
          </w:p>
        </w:tc>
        <w:tc>
          <w:tcPr>
            <w:tcW w:w="3779" w:type="dxa"/>
          </w:tcPr>
          <w:p w14:paraId="78179F49" w14:textId="2185F55D" w:rsidR="00FA791E" w:rsidRPr="00BA02FE" w:rsidRDefault="00FA791E" w:rsidP="00D75531">
            <w:pPr>
              <w:rPr>
                <w:noProof/>
                <w:sz w:val="20"/>
                <w:szCs w:val="20"/>
                <w:lang w:val="fr-CA"/>
              </w:rPr>
            </w:pPr>
            <w:r w:rsidRPr="00BA02FE">
              <w:rPr>
                <w:noProof/>
                <w:sz w:val="20"/>
                <w:szCs w:val="20"/>
                <w:lang w:val="fr-CA"/>
              </w:rPr>
              <w:t>Comprennent les produits à revenu fixe :</w:t>
            </w:r>
          </w:p>
        </w:tc>
        <w:tc>
          <w:tcPr>
            <w:tcW w:w="2524" w:type="dxa"/>
            <w:vMerge w:val="restart"/>
            <w:vAlign w:val="center"/>
          </w:tcPr>
          <w:p w14:paraId="3D46BCCA" w14:textId="5FB5894E" w:rsidR="00FA791E" w:rsidRPr="003B2A44" w:rsidRDefault="009D70D6" w:rsidP="00FA791E">
            <w:pPr>
              <w:jc w:val="center"/>
              <w:rPr>
                <w:b/>
                <w:noProof/>
                <w:sz w:val="20"/>
                <w:szCs w:val="20"/>
                <w:lang w:val="fr-CA"/>
              </w:rPr>
            </w:pPr>
            <w:r w:rsidRPr="00376F28">
              <w:rPr>
                <w:b/>
                <w:bCs/>
                <w:noProof/>
                <w:sz w:val="20"/>
                <w:szCs w:val="20"/>
                <w:lang w:val="fr-CA"/>
              </w:rPr>
              <w:t>En cours d</w:t>
            </w:r>
            <w:r w:rsidR="00C32502">
              <w:rPr>
                <w:b/>
                <w:bCs/>
                <w:noProof/>
                <w:sz w:val="20"/>
                <w:szCs w:val="20"/>
                <w:lang w:val="fr-CA"/>
              </w:rPr>
              <w:t>’</w:t>
            </w:r>
            <w:r w:rsidRPr="00376F28">
              <w:rPr>
                <w:b/>
                <w:bCs/>
                <w:noProof/>
                <w:sz w:val="20"/>
                <w:szCs w:val="20"/>
                <w:lang w:val="fr-CA"/>
              </w:rPr>
              <w:t>examen par le secteur des fonds communs de placement</w:t>
            </w:r>
          </w:p>
        </w:tc>
        <w:tc>
          <w:tcPr>
            <w:tcW w:w="3062" w:type="dxa"/>
            <w:vMerge w:val="restart"/>
          </w:tcPr>
          <w:p w14:paraId="6EC9E31A" w14:textId="67C8FF41" w:rsidR="00FA791E" w:rsidRPr="00BA02FE" w:rsidRDefault="00FA791E" w:rsidP="00D75531">
            <w:pPr>
              <w:rPr>
                <w:bCs/>
                <w:noProof/>
                <w:sz w:val="20"/>
                <w:szCs w:val="20"/>
                <w:lang w:val="fr-CA"/>
              </w:rPr>
            </w:pPr>
            <w:r w:rsidRPr="00BA02FE">
              <w:rPr>
                <w:bCs/>
                <w:noProof/>
                <w:sz w:val="20"/>
                <w:szCs w:val="20"/>
                <w:lang w:val="fr-CA"/>
              </w:rPr>
              <w:t xml:space="preserve">Il convient de vérifier les prospectus et documents d’offre des fonds pour déterminer les exceptions. </w:t>
            </w:r>
          </w:p>
          <w:p w14:paraId="5DC5623B" w14:textId="4666BF68" w:rsidR="00FA791E" w:rsidRPr="00BA02FE" w:rsidRDefault="00FA791E" w:rsidP="00D75531">
            <w:pPr>
              <w:rPr>
                <w:b/>
                <w:bCs/>
                <w:i/>
                <w:iCs/>
                <w:noProof/>
                <w:sz w:val="20"/>
                <w:szCs w:val="20"/>
                <w:lang w:val="fr-CA"/>
              </w:rPr>
            </w:pPr>
            <w:r w:rsidRPr="00BA02FE">
              <w:rPr>
                <w:b/>
                <w:noProof/>
                <w:sz w:val="20"/>
                <w:szCs w:val="20"/>
                <w:lang w:val="fr-CA"/>
              </w:rPr>
              <w:t>Note</w:t>
            </w:r>
            <w:r w:rsidRPr="00BA02FE">
              <w:rPr>
                <w:bCs/>
                <w:noProof/>
                <w:sz w:val="20"/>
                <w:szCs w:val="20"/>
                <w:lang w:val="fr-CA"/>
              </w:rPr>
              <w:t xml:space="preserve"> : le cycle de règlement pour les transactions liées à des certificats physiques et à des fonds d’investissement non rachetables, de même que les achats directs auprès du fournisseur du fonds, ne changeront pas en raison du passage à T+1.</w:t>
            </w:r>
          </w:p>
        </w:tc>
      </w:tr>
      <w:tr w:rsidR="00FA791E" w:rsidRPr="00BA02FE" w14:paraId="2D680E7B" w14:textId="77777777" w:rsidTr="008C059D">
        <w:trPr>
          <w:gridAfter w:val="1"/>
          <w:wAfter w:w="9" w:type="dxa"/>
        </w:trPr>
        <w:tc>
          <w:tcPr>
            <w:tcW w:w="2067" w:type="dxa"/>
            <w:vMerge/>
          </w:tcPr>
          <w:p w14:paraId="21842EC0" w14:textId="77777777" w:rsidR="00FA791E" w:rsidRPr="00BA02FE" w:rsidRDefault="00FA791E" w:rsidP="00D75531">
            <w:pPr>
              <w:pStyle w:val="ListParagraph"/>
              <w:numPr>
                <w:ilvl w:val="0"/>
                <w:numId w:val="15"/>
              </w:numPr>
              <w:rPr>
                <w:noProof/>
                <w:sz w:val="20"/>
                <w:szCs w:val="20"/>
                <w:lang w:val="fr-CA"/>
              </w:rPr>
            </w:pPr>
          </w:p>
        </w:tc>
        <w:tc>
          <w:tcPr>
            <w:tcW w:w="3779" w:type="dxa"/>
          </w:tcPr>
          <w:p w14:paraId="67024374" w14:textId="2ED51C4E" w:rsidR="00FA791E" w:rsidRPr="00BA02FE" w:rsidRDefault="00FA791E" w:rsidP="00D75531">
            <w:pPr>
              <w:pStyle w:val="ListParagraph"/>
              <w:numPr>
                <w:ilvl w:val="0"/>
                <w:numId w:val="3"/>
              </w:numPr>
              <w:rPr>
                <w:noProof/>
                <w:sz w:val="20"/>
                <w:szCs w:val="20"/>
                <w:lang w:val="fr-CA"/>
              </w:rPr>
            </w:pPr>
            <w:r w:rsidRPr="00BA02FE">
              <w:rPr>
                <w:noProof/>
                <w:sz w:val="20"/>
                <w:szCs w:val="20"/>
                <w:lang w:val="fr-CA"/>
              </w:rPr>
              <w:t xml:space="preserve">Fonds communs de placement </w:t>
            </w:r>
          </w:p>
        </w:tc>
        <w:tc>
          <w:tcPr>
            <w:tcW w:w="2524" w:type="dxa"/>
            <w:vMerge/>
            <w:vAlign w:val="center"/>
          </w:tcPr>
          <w:p w14:paraId="5CE2B2D3" w14:textId="77777777" w:rsidR="00FA791E" w:rsidRPr="00BA02FE" w:rsidRDefault="00FA791E" w:rsidP="00FA791E">
            <w:pPr>
              <w:jc w:val="center"/>
              <w:rPr>
                <w:noProof/>
                <w:sz w:val="20"/>
                <w:szCs w:val="20"/>
                <w:lang w:val="fr-CA"/>
              </w:rPr>
            </w:pPr>
          </w:p>
        </w:tc>
        <w:tc>
          <w:tcPr>
            <w:tcW w:w="3062" w:type="dxa"/>
            <w:vMerge/>
          </w:tcPr>
          <w:p w14:paraId="7FF321E3" w14:textId="77777777" w:rsidR="00FA791E" w:rsidRPr="00BA02FE" w:rsidRDefault="00FA791E" w:rsidP="00D75531">
            <w:pPr>
              <w:rPr>
                <w:noProof/>
                <w:sz w:val="20"/>
                <w:szCs w:val="20"/>
                <w:lang w:val="fr-CA"/>
              </w:rPr>
            </w:pPr>
          </w:p>
        </w:tc>
      </w:tr>
      <w:tr w:rsidR="00FA791E" w:rsidRPr="00BA02FE" w14:paraId="3EA9740E" w14:textId="77777777" w:rsidTr="008C059D">
        <w:trPr>
          <w:gridAfter w:val="1"/>
          <w:wAfter w:w="9" w:type="dxa"/>
          <w:trHeight w:val="305"/>
        </w:trPr>
        <w:tc>
          <w:tcPr>
            <w:tcW w:w="2067" w:type="dxa"/>
            <w:vMerge/>
          </w:tcPr>
          <w:p w14:paraId="0C0058D5" w14:textId="77777777" w:rsidR="00FA791E" w:rsidRPr="00BA02FE" w:rsidRDefault="00FA791E" w:rsidP="00D75531">
            <w:pPr>
              <w:pStyle w:val="ListParagraph"/>
              <w:numPr>
                <w:ilvl w:val="0"/>
                <w:numId w:val="15"/>
              </w:numPr>
              <w:rPr>
                <w:noProof/>
                <w:sz w:val="20"/>
                <w:szCs w:val="20"/>
                <w:lang w:val="fr-CA"/>
              </w:rPr>
            </w:pPr>
          </w:p>
        </w:tc>
        <w:tc>
          <w:tcPr>
            <w:tcW w:w="3779" w:type="dxa"/>
          </w:tcPr>
          <w:p w14:paraId="045C962F" w14:textId="52615192" w:rsidR="00FA791E" w:rsidRPr="00BA02FE" w:rsidRDefault="009D70D6" w:rsidP="00D75531">
            <w:pPr>
              <w:pStyle w:val="ListParagraph"/>
              <w:numPr>
                <w:ilvl w:val="0"/>
                <w:numId w:val="3"/>
              </w:numPr>
              <w:rPr>
                <w:noProof/>
                <w:sz w:val="20"/>
                <w:szCs w:val="20"/>
                <w:lang w:val="fr-CA"/>
              </w:rPr>
            </w:pPr>
            <w:r>
              <w:rPr>
                <w:noProof/>
                <w:sz w:val="20"/>
                <w:szCs w:val="20"/>
                <w:lang w:val="fr-CA"/>
              </w:rPr>
              <w:t>Autres f</w:t>
            </w:r>
            <w:r w:rsidR="00FA791E" w:rsidRPr="00BA02FE">
              <w:rPr>
                <w:noProof/>
                <w:sz w:val="20"/>
                <w:szCs w:val="20"/>
                <w:lang w:val="fr-CA"/>
              </w:rPr>
              <w:t xml:space="preserve">onds de placement </w:t>
            </w:r>
          </w:p>
        </w:tc>
        <w:tc>
          <w:tcPr>
            <w:tcW w:w="2524" w:type="dxa"/>
            <w:vMerge/>
            <w:vAlign w:val="center"/>
          </w:tcPr>
          <w:p w14:paraId="6EFA4264" w14:textId="77777777" w:rsidR="00FA791E" w:rsidRPr="00BA02FE" w:rsidRDefault="00FA791E" w:rsidP="00FA791E">
            <w:pPr>
              <w:jc w:val="center"/>
              <w:rPr>
                <w:noProof/>
                <w:sz w:val="20"/>
                <w:szCs w:val="20"/>
                <w:lang w:val="fr-CA"/>
              </w:rPr>
            </w:pPr>
          </w:p>
        </w:tc>
        <w:tc>
          <w:tcPr>
            <w:tcW w:w="3062" w:type="dxa"/>
            <w:vMerge/>
          </w:tcPr>
          <w:p w14:paraId="11D1F4CF" w14:textId="77777777" w:rsidR="00FA791E" w:rsidRPr="00BA02FE" w:rsidRDefault="00FA791E" w:rsidP="00D75531">
            <w:pPr>
              <w:rPr>
                <w:noProof/>
                <w:sz w:val="20"/>
                <w:szCs w:val="20"/>
                <w:lang w:val="fr-CA"/>
              </w:rPr>
            </w:pPr>
          </w:p>
        </w:tc>
      </w:tr>
      <w:tr w:rsidR="00FA791E" w:rsidRPr="009D62BC" w14:paraId="676D57F9" w14:textId="77777777" w:rsidTr="008C059D">
        <w:trPr>
          <w:gridAfter w:val="1"/>
          <w:wAfter w:w="9" w:type="dxa"/>
        </w:trPr>
        <w:tc>
          <w:tcPr>
            <w:tcW w:w="2067" w:type="dxa"/>
            <w:vMerge/>
          </w:tcPr>
          <w:p w14:paraId="05D6022C" w14:textId="77777777" w:rsidR="00FA791E" w:rsidRPr="00BA02FE" w:rsidRDefault="00FA791E" w:rsidP="00D75531">
            <w:pPr>
              <w:pStyle w:val="ListParagraph"/>
              <w:numPr>
                <w:ilvl w:val="0"/>
                <w:numId w:val="15"/>
              </w:numPr>
              <w:rPr>
                <w:noProof/>
                <w:sz w:val="20"/>
                <w:szCs w:val="20"/>
                <w:lang w:val="fr-CA"/>
              </w:rPr>
            </w:pPr>
          </w:p>
        </w:tc>
        <w:tc>
          <w:tcPr>
            <w:tcW w:w="3779" w:type="dxa"/>
          </w:tcPr>
          <w:p w14:paraId="7E1E1797" w14:textId="08DB86C3" w:rsidR="00FA791E" w:rsidRPr="00BA02FE" w:rsidRDefault="00FA791E" w:rsidP="00D75531">
            <w:pPr>
              <w:pStyle w:val="ListParagraph"/>
              <w:numPr>
                <w:ilvl w:val="0"/>
                <w:numId w:val="3"/>
              </w:numPr>
              <w:rPr>
                <w:noProof/>
                <w:sz w:val="20"/>
                <w:szCs w:val="20"/>
                <w:lang w:val="fr-CA"/>
              </w:rPr>
            </w:pPr>
            <w:r w:rsidRPr="00BA02FE">
              <w:rPr>
                <w:noProof/>
                <w:sz w:val="20"/>
                <w:szCs w:val="20"/>
                <w:lang w:val="fr-CA"/>
              </w:rPr>
              <w:t>Fonds en gestion commune</w:t>
            </w:r>
            <w:r w:rsidR="009D70D6">
              <w:rPr>
                <w:noProof/>
                <w:sz w:val="20"/>
                <w:szCs w:val="20"/>
                <w:lang w:val="fr-CA"/>
              </w:rPr>
              <w:t xml:space="preserve"> (y compris les fonds de fonds)</w:t>
            </w:r>
          </w:p>
        </w:tc>
        <w:tc>
          <w:tcPr>
            <w:tcW w:w="2524" w:type="dxa"/>
            <w:vMerge/>
            <w:vAlign w:val="center"/>
          </w:tcPr>
          <w:p w14:paraId="637BF23E" w14:textId="77777777" w:rsidR="00FA791E" w:rsidRPr="00BA02FE" w:rsidRDefault="00FA791E" w:rsidP="00FA791E">
            <w:pPr>
              <w:jc w:val="center"/>
              <w:rPr>
                <w:noProof/>
                <w:sz w:val="20"/>
                <w:szCs w:val="20"/>
                <w:lang w:val="fr-CA"/>
              </w:rPr>
            </w:pPr>
          </w:p>
        </w:tc>
        <w:tc>
          <w:tcPr>
            <w:tcW w:w="3062" w:type="dxa"/>
            <w:vMerge/>
          </w:tcPr>
          <w:p w14:paraId="25090E11" w14:textId="77777777" w:rsidR="00FA791E" w:rsidRPr="00BA02FE" w:rsidRDefault="00FA791E" w:rsidP="00D75531">
            <w:pPr>
              <w:rPr>
                <w:noProof/>
                <w:sz w:val="20"/>
                <w:szCs w:val="20"/>
                <w:lang w:val="fr-CA"/>
              </w:rPr>
            </w:pPr>
          </w:p>
        </w:tc>
      </w:tr>
      <w:tr w:rsidR="00FA791E" w:rsidRPr="00BA02FE" w14:paraId="4B5EFEB6" w14:textId="77777777" w:rsidTr="008C059D">
        <w:trPr>
          <w:gridAfter w:val="1"/>
          <w:wAfter w:w="9" w:type="dxa"/>
        </w:trPr>
        <w:tc>
          <w:tcPr>
            <w:tcW w:w="2067" w:type="dxa"/>
            <w:vMerge/>
          </w:tcPr>
          <w:p w14:paraId="68D4D554" w14:textId="77777777" w:rsidR="00FA791E" w:rsidRPr="00BA02FE" w:rsidRDefault="00FA791E" w:rsidP="00D75531">
            <w:pPr>
              <w:pStyle w:val="ListParagraph"/>
              <w:numPr>
                <w:ilvl w:val="0"/>
                <w:numId w:val="15"/>
              </w:numPr>
              <w:rPr>
                <w:noProof/>
                <w:sz w:val="20"/>
                <w:szCs w:val="20"/>
                <w:lang w:val="fr-CA"/>
              </w:rPr>
            </w:pPr>
          </w:p>
        </w:tc>
        <w:tc>
          <w:tcPr>
            <w:tcW w:w="3779" w:type="dxa"/>
          </w:tcPr>
          <w:p w14:paraId="4808EA9B" w14:textId="7028B5AA" w:rsidR="00FA791E" w:rsidRPr="00BA02FE" w:rsidRDefault="00FA791E" w:rsidP="00D75531">
            <w:pPr>
              <w:pStyle w:val="ListParagraph"/>
              <w:numPr>
                <w:ilvl w:val="0"/>
                <w:numId w:val="3"/>
              </w:numPr>
              <w:rPr>
                <w:noProof/>
                <w:sz w:val="20"/>
                <w:szCs w:val="20"/>
                <w:lang w:val="fr-CA"/>
              </w:rPr>
            </w:pPr>
            <w:r w:rsidRPr="00BA02FE">
              <w:rPr>
                <w:noProof/>
                <w:sz w:val="20"/>
                <w:szCs w:val="20"/>
                <w:lang w:val="fr-CA"/>
              </w:rPr>
              <w:t xml:space="preserve">Fonds communs de fiducie </w:t>
            </w:r>
          </w:p>
        </w:tc>
        <w:tc>
          <w:tcPr>
            <w:tcW w:w="2524" w:type="dxa"/>
            <w:vMerge/>
            <w:vAlign w:val="center"/>
          </w:tcPr>
          <w:p w14:paraId="191D1626" w14:textId="77777777" w:rsidR="00FA791E" w:rsidRPr="00BA02FE" w:rsidRDefault="00FA791E" w:rsidP="00FA791E">
            <w:pPr>
              <w:jc w:val="center"/>
              <w:rPr>
                <w:noProof/>
                <w:sz w:val="20"/>
                <w:szCs w:val="20"/>
                <w:lang w:val="fr-CA"/>
              </w:rPr>
            </w:pPr>
          </w:p>
        </w:tc>
        <w:tc>
          <w:tcPr>
            <w:tcW w:w="3062" w:type="dxa"/>
            <w:vMerge/>
          </w:tcPr>
          <w:p w14:paraId="0BE7817B" w14:textId="77777777" w:rsidR="00FA791E" w:rsidRPr="00BA02FE" w:rsidRDefault="00FA791E" w:rsidP="00D75531">
            <w:pPr>
              <w:rPr>
                <w:noProof/>
                <w:sz w:val="20"/>
                <w:szCs w:val="20"/>
                <w:lang w:val="fr-CA"/>
              </w:rPr>
            </w:pPr>
          </w:p>
        </w:tc>
      </w:tr>
      <w:tr w:rsidR="00FA791E" w:rsidRPr="009D62BC" w14:paraId="0C28B887" w14:textId="77777777" w:rsidTr="008C059D">
        <w:trPr>
          <w:gridAfter w:val="1"/>
          <w:wAfter w:w="9" w:type="dxa"/>
          <w:trHeight w:val="242"/>
        </w:trPr>
        <w:tc>
          <w:tcPr>
            <w:tcW w:w="2067" w:type="dxa"/>
            <w:vMerge/>
          </w:tcPr>
          <w:p w14:paraId="165E5A58" w14:textId="77777777" w:rsidR="00FA791E" w:rsidRPr="00BA02FE" w:rsidRDefault="00FA791E" w:rsidP="00D75531">
            <w:pPr>
              <w:pStyle w:val="ListParagraph"/>
              <w:numPr>
                <w:ilvl w:val="0"/>
                <w:numId w:val="15"/>
              </w:numPr>
              <w:rPr>
                <w:noProof/>
                <w:sz w:val="20"/>
                <w:szCs w:val="20"/>
                <w:lang w:val="fr-CA"/>
              </w:rPr>
            </w:pPr>
          </w:p>
        </w:tc>
        <w:tc>
          <w:tcPr>
            <w:tcW w:w="3779" w:type="dxa"/>
          </w:tcPr>
          <w:p w14:paraId="3CBCADB9" w14:textId="64CE2168" w:rsidR="00FA791E" w:rsidRPr="00BA02FE" w:rsidRDefault="00FA791E" w:rsidP="00D75531">
            <w:pPr>
              <w:pStyle w:val="ListParagraph"/>
              <w:numPr>
                <w:ilvl w:val="0"/>
                <w:numId w:val="3"/>
              </w:numPr>
              <w:rPr>
                <w:noProof/>
                <w:sz w:val="20"/>
                <w:szCs w:val="20"/>
                <w:lang w:val="fr-CA"/>
              </w:rPr>
            </w:pPr>
            <w:r w:rsidRPr="00BA02FE">
              <w:rPr>
                <w:noProof/>
                <w:sz w:val="20"/>
                <w:szCs w:val="20"/>
                <w:lang w:val="fr-CA"/>
              </w:rPr>
              <w:t>Véhicules à réplique indicielle (VRI)</w:t>
            </w:r>
          </w:p>
        </w:tc>
        <w:tc>
          <w:tcPr>
            <w:tcW w:w="2524" w:type="dxa"/>
            <w:vMerge/>
            <w:vAlign w:val="center"/>
          </w:tcPr>
          <w:p w14:paraId="2D615E30" w14:textId="77777777" w:rsidR="00FA791E" w:rsidRPr="00BA02FE" w:rsidRDefault="00FA791E" w:rsidP="00FA791E">
            <w:pPr>
              <w:jc w:val="center"/>
              <w:rPr>
                <w:noProof/>
                <w:sz w:val="20"/>
                <w:szCs w:val="20"/>
                <w:lang w:val="fr-CA"/>
              </w:rPr>
            </w:pPr>
          </w:p>
        </w:tc>
        <w:tc>
          <w:tcPr>
            <w:tcW w:w="3062" w:type="dxa"/>
            <w:vMerge/>
          </w:tcPr>
          <w:p w14:paraId="0B6711F6" w14:textId="77777777" w:rsidR="00FA791E" w:rsidRPr="00BA02FE" w:rsidRDefault="00FA791E" w:rsidP="00D75531">
            <w:pPr>
              <w:rPr>
                <w:noProof/>
                <w:sz w:val="20"/>
                <w:szCs w:val="20"/>
                <w:lang w:val="fr-CA"/>
              </w:rPr>
            </w:pPr>
          </w:p>
        </w:tc>
      </w:tr>
      <w:tr w:rsidR="002C3C60" w:rsidRPr="00BA02FE" w14:paraId="56F1C79D" w14:textId="77777777" w:rsidTr="008C059D">
        <w:trPr>
          <w:gridAfter w:val="1"/>
          <w:wAfter w:w="9" w:type="dxa"/>
          <w:trHeight w:val="255"/>
        </w:trPr>
        <w:tc>
          <w:tcPr>
            <w:tcW w:w="2067" w:type="dxa"/>
            <w:vMerge/>
          </w:tcPr>
          <w:p w14:paraId="113BC253" w14:textId="77777777" w:rsidR="002C3C60" w:rsidRPr="00BA02FE" w:rsidRDefault="002C3C60" w:rsidP="00D75531">
            <w:pPr>
              <w:pStyle w:val="ListParagraph"/>
              <w:numPr>
                <w:ilvl w:val="0"/>
                <w:numId w:val="15"/>
              </w:numPr>
              <w:rPr>
                <w:noProof/>
                <w:sz w:val="20"/>
                <w:szCs w:val="20"/>
                <w:lang w:val="fr-CA"/>
              </w:rPr>
            </w:pPr>
          </w:p>
        </w:tc>
        <w:tc>
          <w:tcPr>
            <w:tcW w:w="3779" w:type="dxa"/>
          </w:tcPr>
          <w:p w14:paraId="3C9AB53B" w14:textId="52E48D4A" w:rsidR="002C3C60" w:rsidRPr="00BA02FE" w:rsidRDefault="002C3C60" w:rsidP="00D75531">
            <w:pPr>
              <w:pStyle w:val="ListParagraph"/>
              <w:numPr>
                <w:ilvl w:val="0"/>
                <w:numId w:val="3"/>
              </w:numPr>
              <w:rPr>
                <w:noProof/>
                <w:sz w:val="20"/>
                <w:szCs w:val="20"/>
                <w:lang w:val="fr-CA"/>
              </w:rPr>
            </w:pPr>
            <w:r w:rsidRPr="00BA02FE">
              <w:rPr>
                <w:noProof/>
                <w:sz w:val="20"/>
                <w:szCs w:val="20"/>
                <w:lang w:val="fr-CA"/>
              </w:rPr>
              <w:t>Fonds fermés d’actions (FFA)</w:t>
            </w:r>
          </w:p>
        </w:tc>
        <w:tc>
          <w:tcPr>
            <w:tcW w:w="2524" w:type="dxa"/>
            <w:vAlign w:val="center"/>
          </w:tcPr>
          <w:p w14:paraId="1627726D" w14:textId="29CE8964" w:rsidR="002C3C60" w:rsidRPr="00BA02FE" w:rsidRDefault="002C3C60" w:rsidP="00FA791E">
            <w:pPr>
              <w:jc w:val="center"/>
              <w:rPr>
                <w:b/>
                <w:bCs/>
                <w:noProof/>
                <w:sz w:val="20"/>
                <w:szCs w:val="20"/>
                <w:lang w:val="fr-CA"/>
              </w:rPr>
            </w:pPr>
            <w:r w:rsidRPr="00BA02FE">
              <w:rPr>
                <w:b/>
                <w:bCs/>
                <w:noProof/>
                <w:sz w:val="20"/>
                <w:szCs w:val="20"/>
                <w:lang w:val="fr-CA"/>
              </w:rPr>
              <w:t>OUI</w:t>
            </w:r>
          </w:p>
        </w:tc>
        <w:tc>
          <w:tcPr>
            <w:tcW w:w="3062" w:type="dxa"/>
          </w:tcPr>
          <w:p w14:paraId="025D78D9" w14:textId="77777777" w:rsidR="002C3C60" w:rsidRPr="00BA02FE" w:rsidRDefault="002C3C60" w:rsidP="00D75531">
            <w:pPr>
              <w:rPr>
                <w:noProof/>
                <w:sz w:val="20"/>
                <w:szCs w:val="20"/>
                <w:lang w:val="fr-CA"/>
              </w:rPr>
            </w:pPr>
          </w:p>
        </w:tc>
      </w:tr>
      <w:tr w:rsidR="002C3C60" w:rsidRPr="00BA02FE" w14:paraId="3B13AF3F" w14:textId="77777777" w:rsidTr="008C059D">
        <w:trPr>
          <w:gridAfter w:val="1"/>
          <w:wAfter w:w="9" w:type="dxa"/>
          <w:trHeight w:val="255"/>
        </w:trPr>
        <w:tc>
          <w:tcPr>
            <w:tcW w:w="2067" w:type="dxa"/>
            <w:vMerge/>
          </w:tcPr>
          <w:p w14:paraId="1483C761" w14:textId="77777777" w:rsidR="002C3C60" w:rsidRPr="00BA02FE" w:rsidRDefault="002C3C60" w:rsidP="00D75531">
            <w:pPr>
              <w:pStyle w:val="ListParagraph"/>
              <w:numPr>
                <w:ilvl w:val="0"/>
                <w:numId w:val="15"/>
              </w:numPr>
              <w:rPr>
                <w:noProof/>
                <w:sz w:val="20"/>
                <w:szCs w:val="20"/>
                <w:lang w:val="fr-CA"/>
              </w:rPr>
            </w:pPr>
          </w:p>
        </w:tc>
        <w:tc>
          <w:tcPr>
            <w:tcW w:w="3779" w:type="dxa"/>
          </w:tcPr>
          <w:p w14:paraId="1E848997" w14:textId="2E9B5DBC" w:rsidR="002C3C60" w:rsidRPr="00BA02FE" w:rsidRDefault="002C3C60" w:rsidP="00D75531">
            <w:pPr>
              <w:pStyle w:val="ListParagraph"/>
              <w:numPr>
                <w:ilvl w:val="0"/>
                <w:numId w:val="3"/>
              </w:numPr>
              <w:rPr>
                <w:noProof/>
                <w:sz w:val="20"/>
                <w:szCs w:val="20"/>
                <w:lang w:val="fr-CA"/>
              </w:rPr>
            </w:pPr>
            <w:r w:rsidRPr="00BA02FE">
              <w:rPr>
                <w:noProof/>
                <w:sz w:val="20"/>
                <w:szCs w:val="20"/>
                <w:lang w:val="fr-CA"/>
              </w:rPr>
              <w:t>FNB</w:t>
            </w:r>
          </w:p>
        </w:tc>
        <w:tc>
          <w:tcPr>
            <w:tcW w:w="2524" w:type="dxa"/>
            <w:vAlign w:val="center"/>
          </w:tcPr>
          <w:p w14:paraId="5D9F25EB" w14:textId="0F09A2AD" w:rsidR="002C3C60" w:rsidRPr="00BA02FE" w:rsidRDefault="002C3C60" w:rsidP="00FA791E">
            <w:pPr>
              <w:jc w:val="center"/>
              <w:rPr>
                <w:b/>
                <w:bCs/>
                <w:noProof/>
                <w:sz w:val="20"/>
                <w:szCs w:val="20"/>
                <w:lang w:val="fr-CA"/>
              </w:rPr>
            </w:pPr>
            <w:r w:rsidRPr="00BA02FE">
              <w:rPr>
                <w:b/>
                <w:bCs/>
                <w:noProof/>
                <w:sz w:val="20"/>
                <w:szCs w:val="20"/>
                <w:lang w:val="fr-CA"/>
              </w:rPr>
              <w:t>OUI</w:t>
            </w:r>
          </w:p>
        </w:tc>
        <w:tc>
          <w:tcPr>
            <w:tcW w:w="3062" w:type="dxa"/>
          </w:tcPr>
          <w:p w14:paraId="3D7E8DD3" w14:textId="77777777" w:rsidR="002C3C60" w:rsidRPr="00BA02FE" w:rsidRDefault="002C3C60" w:rsidP="00D75531">
            <w:pPr>
              <w:rPr>
                <w:noProof/>
                <w:sz w:val="20"/>
                <w:szCs w:val="20"/>
                <w:lang w:val="fr-CA"/>
              </w:rPr>
            </w:pPr>
          </w:p>
        </w:tc>
      </w:tr>
      <w:tr w:rsidR="002C3C60" w:rsidRPr="00BA02FE" w14:paraId="18DE615A" w14:textId="77777777" w:rsidTr="008C059D">
        <w:trPr>
          <w:gridAfter w:val="1"/>
          <w:wAfter w:w="9" w:type="dxa"/>
          <w:trHeight w:val="80"/>
        </w:trPr>
        <w:tc>
          <w:tcPr>
            <w:tcW w:w="2067" w:type="dxa"/>
            <w:vMerge/>
          </w:tcPr>
          <w:p w14:paraId="7D36C452" w14:textId="77777777" w:rsidR="002C3C60" w:rsidRPr="00BA02FE" w:rsidRDefault="002C3C60" w:rsidP="00D75531">
            <w:pPr>
              <w:pStyle w:val="ListParagraph"/>
              <w:numPr>
                <w:ilvl w:val="0"/>
                <w:numId w:val="15"/>
              </w:numPr>
              <w:rPr>
                <w:noProof/>
                <w:sz w:val="20"/>
                <w:szCs w:val="20"/>
                <w:lang w:val="fr-CA"/>
              </w:rPr>
            </w:pPr>
          </w:p>
        </w:tc>
        <w:tc>
          <w:tcPr>
            <w:tcW w:w="3779" w:type="dxa"/>
          </w:tcPr>
          <w:p w14:paraId="39168616" w14:textId="04EC910C" w:rsidR="002C3C60" w:rsidRPr="00BA02FE" w:rsidRDefault="002C3C60" w:rsidP="00D75531">
            <w:pPr>
              <w:pStyle w:val="ListParagraph"/>
              <w:numPr>
                <w:ilvl w:val="0"/>
                <w:numId w:val="3"/>
              </w:numPr>
              <w:rPr>
                <w:noProof/>
                <w:sz w:val="20"/>
                <w:szCs w:val="20"/>
                <w:lang w:val="fr-CA"/>
              </w:rPr>
            </w:pPr>
            <w:r w:rsidRPr="00BA02FE">
              <w:rPr>
                <w:noProof/>
                <w:sz w:val="20"/>
                <w:szCs w:val="20"/>
                <w:lang w:val="fr-CA"/>
              </w:rPr>
              <w:t>Fonds négociés sur plateforme (FNP)</w:t>
            </w:r>
          </w:p>
        </w:tc>
        <w:tc>
          <w:tcPr>
            <w:tcW w:w="2524" w:type="dxa"/>
            <w:vAlign w:val="center"/>
          </w:tcPr>
          <w:p w14:paraId="3022BD0E" w14:textId="25F5A584" w:rsidR="002C3C60" w:rsidRPr="00BA02FE" w:rsidRDefault="002C3C60" w:rsidP="00FA791E">
            <w:pPr>
              <w:jc w:val="center"/>
              <w:rPr>
                <w:b/>
                <w:bCs/>
                <w:noProof/>
                <w:sz w:val="20"/>
                <w:szCs w:val="20"/>
                <w:lang w:val="fr-CA"/>
              </w:rPr>
            </w:pPr>
            <w:r w:rsidRPr="00BA02FE">
              <w:rPr>
                <w:b/>
                <w:bCs/>
                <w:noProof/>
                <w:sz w:val="20"/>
                <w:szCs w:val="20"/>
                <w:lang w:val="fr-CA"/>
              </w:rPr>
              <w:t>OUI</w:t>
            </w:r>
          </w:p>
        </w:tc>
        <w:tc>
          <w:tcPr>
            <w:tcW w:w="3062" w:type="dxa"/>
          </w:tcPr>
          <w:p w14:paraId="3FBB8B5E" w14:textId="77777777" w:rsidR="002C3C60" w:rsidRPr="00BA02FE" w:rsidRDefault="002C3C60" w:rsidP="00D75531">
            <w:pPr>
              <w:rPr>
                <w:noProof/>
                <w:sz w:val="20"/>
                <w:szCs w:val="20"/>
                <w:lang w:val="fr-CA"/>
              </w:rPr>
            </w:pPr>
          </w:p>
        </w:tc>
      </w:tr>
      <w:tr w:rsidR="002C3C60" w:rsidRPr="00BA02FE" w14:paraId="7112AFFE" w14:textId="77777777" w:rsidTr="008C059D">
        <w:trPr>
          <w:gridAfter w:val="1"/>
          <w:wAfter w:w="9" w:type="dxa"/>
          <w:trHeight w:val="503"/>
        </w:trPr>
        <w:tc>
          <w:tcPr>
            <w:tcW w:w="2067" w:type="dxa"/>
            <w:vMerge/>
          </w:tcPr>
          <w:p w14:paraId="2649891F" w14:textId="77777777" w:rsidR="002C3C60" w:rsidRPr="00BA02FE" w:rsidRDefault="002C3C60" w:rsidP="002C3C60">
            <w:pPr>
              <w:pStyle w:val="ListParagraph"/>
              <w:numPr>
                <w:ilvl w:val="0"/>
                <w:numId w:val="15"/>
              </w:numPr>
              <w:rPr>
                <w:noProof/>
                <w:sz w:val="20"/>
                <w:szCs w:val="20"/>
                <w:lang w:val="fr-CA"/>
              </w:rPr>
            </w:pPr>
          </w:p>
        </w:tc>
        <w:tc>
          <w:tcPr>
            <w:tcW w:w="3779" w:type="dxa"/>
          </w:tcPr>
          <w:p w14:paraId="6E1E326A" w14:textId="2D89B8AD" w:rsidR="002C3C60" w:rsidRPr="00BA02FE" w:rsidRDefault="00D449F7" w:rsidP="002C3C60">
            <w:pPr>
              <w:pStyle w:val="ListParagraph"/>
              <w:numPr>
                <w:ilvl w:val="0"/>
                <w:numId w:val="3"/>
              </w:numPr>
              <w:rPr>
                <w:noProof/>
                <w:sz w:val="20"/>
                <w:szCs w:val="20"/>
                <w:lang w:val="fr-CA"/>
              </w:rPr>
            </w:pPr>
            <w:r w:rsidRPr="00D449F7">
              <w:rPr>
                <w:noProof/>
                <w:sz w:val="20"/>
                <w:szCs w:val="20"/>
                <w:lang w:val="fr-CA"/>
              </w:rPr>
              <w:t>Fonds de placement privés</w:t>
            </w:r>
          </w:p>
        </w:tc>
        <w:tc>
          <w:tcPr>
            <w:tcW w:w="2524" w:type="dxa"/>
            <w:vAlign w:val="center"/>
          </w:tcPr>
          <w:p w14:paraId="178109A4" w14:textId="464EB505" w:rsidR="002C3C60" w:rsidRPr="00BA02FE" w:rsidRDefault="002C3C60" w:rsidP="00FA791E">
            <w:pPr>
              <w:jc w:val="center"/>
              <w:rPr>
                <w:noProof/>
                <w:sz w:val="20"/>
                <w:szCs w:val="20"/>
                <w:lang w:val="fr-CA"/>
              </w:rPr>
            </w:pPr>
            <w:r w:rsidRPr="00BA02FE">
              <w:rPr>
                <w:noProof/>
                <w:sz w:val="20"/>
                <w:szCs w:val="20"/>
                <w:lang w:val="fr-CA"/>
              </w:rPr>
              <w:t>Consulter le prospectus</w:t>
            </w:r>
          </w:p>
        </w:tc>
        <w:tc>
          <w:tcPr>
            <w:tcW w:w="3062" w:type="dxa"/>
          </w:tcPr>
          <w:p w14:paraId="4C5B993E" w14:textId="77777777" w:rsidR="002C3C60" w:rsidRPr="00BA02FE" w:rsidRDefault="002C3C60" w:rsidP="002C3C60">
            <w:pPr>
              <w:rPr>
                <w:noProof/>
                <w:sz w:val="20"/>
                <w:szCs w:val="20"/>
                <w:lang w:val="fr-CA"/>
              </w:rPr>
            </w:pPr>
          </w:p>
        </w:tc>
      </w:tr>
      <w:tr w:rsidR="002C3C60" w:rsidRPr="00BA02FE" w14:paraId="7DABEAE3" w14:textId="77777777" w:rsidTr="008C059D">
        <w:trPr>
          <w:gridAfter w:val="1"/>
          <w:wAfter w:w="9" w:type="dxa"/>
          <w:trHeight w:val="197"/>
        </w:trPr>
        <w:tc>
          <w:tcPr>
            <w:tcW w:w="2067" w:type="dxa"/>
            <w:vMerge/>
          </w:tcPr>
          <w:p w14:paraId="74F6A69F" w14:textId="77777777" w:rsidR="002C3C60" w:rsidRPr="00BA02FE" w:rsidRDefault="002C3C60" w:rsidP="002C3C60">
            <w:pPr>
              <w:pStyle w:val="ListParagraph"/>
              <w:numPr>
                <w:ilvl w:val="0"/>
                <w:numId w:val="15"/>
              </w:numPr>
              <w:rPr>
                <w:noProof/>
                <w:sz w:val="20"/>
                <w:szCs w:val="20"/>
                <w:lang w:val="fr-CA"/>
              </w:rPr>
            </w:pPr>
          </w:p>
        </w:tc>
        <w:tc>
          <w:tcPr>
            <w:tcW w:w="3779" w:type="dxa"/>
          </w:tcPr>
          <w:p w14:paraId="35630BA3" w14:textId="43B9FBA3" w:rsidR="002C3C60" w:rsidRPr="00BA02FE" w:rsidRDefault="00D449F7" w:rsidP="002C3C60">
            <w:pPr>
              <w:pStyle w:val="ListParagraph"/>
              <w:numPr>
                <w:ilvl w:val="0"/>
                <w:numId w:val="3"/>
              </w:numPr>
              <w:rPr>
                <w:noProof/>
                <w:sz w:val="20"/>
                <w:szCs w:val="20"/>
                <w:lang w:val="fr-CA"/>
              </w:rPr>
            </w:pPr>
            <w:r w:rsidRPr="00D449F7">
              <w:rPr>
                <w:noProof/>
                <w:sz w:val="20"/>
                <w:szCs w:val="20"/>
                <w:lang w:val="fr-CA"/>
              </w:rPr>
              <w:t>Fonds de capital-risque</w:t>
            </w:r>
          </w:p>
        </w:tc>
        <w:tc>
          <w:tcPr>
            <w:tcW w:w="2524" w:type="dxa"/>
            <w:vAlign w:val="center"/>
          </w:tcPr>
          <w:p w14:paraId="33C23904" w14:textId="490DB511" w:rsidR="002C3C60" w:rsidRPr="00BA02FE" w:rsidRDefault="002C3C60" w:rsidP="00FA791E">
            <w:pPr>
              <w:jc w:val="center"/>
              <w:rPr>
                <w:noProof/>
                <w:sz w:val="20"/>
                <w:szCs w:val="20"/>
                <w:lang w:val="fr-CA"/>
              </w:rPr>
            </w:pPr>
            <w:r w:rsidRPr="00BA02FE">
              <w:rPr>
                <w:noProof/>
                <w:sz w:val="20"/>
                <w:szCs w:val="20"/>
                <w:lang w:val="fr-CA"/>
              </w:rPr>
              <w:t>Consulter le prospectus</w:t>
            </w:r>
          </w:p>
        </w:tc>
        <w:tc>
          <w:tcPr>
            <w:tcW w:w="3062" w:type="dxa"/>
          </w:tcPr>
          <w:p w14:paraId="3D122F43" w14:textId="77777777" w:rsidR="002C3C60" w:rsidRPr="00BA02FE" w:rsidRDefault="002C3C60" w:rsidP="002C3C60">
            <w:pPr>
              <w:rPr>
                <w:noProof/>
                <w:sz w:val="20"/>
                <w:szCs w:val="20"/>
                <w:lang w:val="fr-CA"/>
              </w:rPr>
            </w:pPr>
          </w:p>
        </w:tc>
      </w:tr>
      <w:tr w:rsidR="002C3C60" w:rsidRPr="00BA02FE" w14:paraId="536F5657" w14:textId="77777777" w:rsidTr="008C059D">
        <w:trPr>
          <w:gridAfter w:val="1"/>
          <w:wAfter w:w="9" w:type="dxa"/>
          <w:trHeight w:val="80"/>
        </w:trPr>
        <w:tc>
          <w:tcPr>
            <w:tcW w:w="2067" w:type="dxa"/>
            <w:vMerge/>
          </w:tcPr>
          <w:p w14:paraId="475F0698" w14:textId="7B00AFEC" w:rsidR="002C3C60" w:rsidRPr="00BA02FE" w:rsidRDefault="002C3C60" w:rsidP="002C3C60">
            <w:pPr>
              <w:ind w:left="345" w:hanging="360"/>
              <w:rPr>
                <w:noProof/>
                <w:sz w:val="20"/>
                <w:szCs w:val="20"/>
                <w:lang w:val="fr-CA"/>
              </w:rPr>
            </w:pPr>
          </w:p>
        </w:tc>
        <w:tc>
          <w:tcPr>
            <w:tcW w:w="3779" w:type="dxa"/>
            <w:shd w:val="clear" w:color="auto" w:fill="auto"/>
          </w:tcPr>
          <w:p w14:paraId="238CC013" w14:textId="287BEB48" w:rsidR="002C3C60" w:rsidRPr="003B2A44" w:rsidRDefault="00294AC1" w:rsidP="002C3C60">
            <w:pPr>
              <w:pStyle w:val="ListParagraph"/>
              <w:numPr>
                <w:ilvl w:val="0"/>
                <w:numId w:val="3"/>
              </w:numPr>
              <w:rPr>
                <w:noProof/>
                <w:sz w:val="20"/>
                <w:szCs w:val="20"/>
                <w:lang w:val="fr-CA"/>
              </w:rPr>
            </w:pPr>
            <w:r w:rsidRPr="00294AC1">
              <w:rPr>
                <w:noProof/>
                <w:sz w:val="20"/>
                <w:szCs w:val="20"/>
                <w:lang w:val="fr-CA"/>
              </w:rPr>
              <w:t>Fonds hypothécaires/sociétés d</w:t>
            </w:r>
            <w:r w:rsidR="00C32502">
              <w:rPr>
                <w:noProof/>
                <w:sz w:val="20"/>
                <w:szCs w:val="20"/>
                <w:lang w:val="fr-CA"/>
              </w:rPr>
              <w:t>’</w:t>
            </w:r>
            <w:r w:rsidRPr="00294AC1">
              <w:rPr>
                <w:noProof/>
                <w:sz w:val="20"/>
                <w:szCs w:val="20"/>
                <w:lang w:val="fr-CA"/>
              </w:rPr>
              <w:t>investissement hypothécaire (SPH)</w:t>
            </w:r>
          </w:p>
        </w:tc>
        <w:tc>
          <w:tcPr>
            <w:tcW w:w="2524" w:type="dxa"/>
            <w:vAlign w:val="center"/>
          </w:tcPr>
          <w:p w14:paraId="69B15DFC" w14:textId="77C10058" w:rsidR="002C3C60" w:rsidRPr="003B2A44" w:rsidRDefault="002C3C60" w:rsidP="00FA791E">
            <w:pPr>
              <w:jc w:val="center"/>
              <w:rPr>
                <w:noProof/>
                <w:sz w:val="20"/>
                <w:szCs w:val="20"/>
                <w:lang w:val="fr-CA"/>
              </w:rPr>
            </w:pPr>
            <w:r w:rsidRPr="00BA02FE">
              <w:rPr>
                <w:noProof/>
                <w:sz w:val="20"/>
                <w:szCs w:val="20"/>
                <w:lang w:val="fr-CA"/>
              </w:rPr>
              <w:t>Consulter le prospectus</w:t>
            </w:r>
          </w:p>
        </w:tc>
        <w:tc>
          <w:tcPr>
            <w:tcW w:w="3062" w:type="dxa"/>
            <w:vAlign w:val="center"/>
          </w:tcPr>
          <w:p w14:paraId="546F7885" w14:textId="3167FDD9" w:rsidR="002C3C60" w:rsidRPr="003B2A44" w:rsidRDefault="002C3C60" w:rsidP="002C3C60">
            <w:pPr>
              <w:rPr>
                <w:noProof/>
                <w:sz w:val="20"/>
                <w:szCs w:val="20"/>
                <w:lang w:val="fr-CA"/>
              </w:rPr>
            </w:pPr>
          </w:p>
        </w:tc>
      </w:tr>
      <w:tr w:rsidR="002C3C60" w:rsidRPr="00BA02FE" w14:paraId="2F9BF812" w14:textId="77777777" w:rsidTr="008C059D">
        <w:trPr>
          <w:gridAfter w:val="1"/>
          <w:wAfter w:w="9" w:type="dxa"/>
          <w:trHeight w:val="80"/>
        </w:trPr>
        <w:tc>
          <w:tcPr>
            <w:tcW w:w="2067" w:type="dxa"/>
            <w:vMerge/>
          </w:tcPr>
          <w:p w14:paraId="71502124" w14:textId="47BD6C13" w:rsidR="002C3C60" w:rsidRPr="003B2A44" w:rsidRDefault="002C3C60" w:rsidP="002C3C60">
            <w:pPr>
              <w:ind w:left="345" w:hanging="360"/>
              <w:rPr>
                <w:noProof/>
                <w:sz w:val="20"/>
                <w:szCs w:val="20"/>
                <w:lang w:val="fr-CA"/>
              </w:rPr>
            </w:pPr>
          </w:p>
        </w:tc>
        <w:tc>
          <w:tcPr>
            <w:tcW w:w="3779" w:type="dxa"/>
          </w:tcPr>
          <w:p w14:paraId="6B6451F7" w14:textId="777967D6" w:rsidR="002C3C60" w:rsidRPr="00BA02FE" w:rsidRDefault="00294AC1" w:rsidP="002C3C60">
            <w:pPr>
              <w:pStyle w:val="ListParagraph"/>
              <w:numPr>
                <w:ilvl w:val="0"/>
                <w:numId w:val="3"/>
              </w:numPr>
              <w:rPr>
                <w:noProof/>
                <w:sz w:val="20"/>
                <w:szCs w:val="20"/>
                <w:lang w:val="fr-CA"/>
              </w:rPr>
            </w:pPr>
            <w:r>
              <w:rPr>
                <w:noProof/>
                <w:sz w:val="20"/>
                <w:szCs w:val="20"/>
                <w:lang w:val="fr-CA"/>
              </w:rPr>
              <w:t>Fonds de placement immobiliers</w:t>
            </w:r>
          </w:p>
        </w:tc>
        <w:tc>
          <w:tcPr>
            <w:tcW w:w="2524" w:type="dxa"/>
            <w:vAlign w:val="center"/>
          </w:tcPr>
          <w:p w14:paraId="02A971C3" w14:textId="697CBAF2" w:rsidR="002C3C60" w:rsidRPr="00BA02FE" w:rsidRDefault="002C3C60" w:rsidP="00FA791E">
            <w:pPr>
              <w:jc w:val="center"/>
              <w:rPr>
                <w:noProof/>
                <w:sz w:val="20"/>
                <w:szCs w:val="20"/>
                <w:lang w:val="fr-CA"/>
              </w:rPr>
            </w:pPr>
            <w:r w:rsidRPr="00BA02FE">
              <w:rPr>
                <w:noProof/>
                <w:sz w:val="20"/>
                <w:szCs w:val="20"/>
                <w:lang w:val="fr-CA"/>
              </w:rPr>
              <w:t>Consulter le prospectus</w:t>
            </w:r>
          </w:p>
        </w:tc>
        <w:tc>
          <w:tcPr>
            <w:tcW w:w="3062" w:type="dxa"/>
          </w:tcPr>
          <w:p w14:paraId="397DF139" w14:textId="77777777" w:rsidR="002C3C60" w:rsidRPr="00BA02FE" w:rsidRDefault="002C3C60" w:rsidP="002C3C60">
            <w:pPr>
              <w:rPr>
                <w:noProof/>
                <w:sz w:val="20"/>
                <w:szCs w:val="20"/>
                <w:lang w:val="fr-CA"/>
              </w:rPr>
            </w:pPr>
          </w:p>
        </w:tc>
      </w:tr>
      <w:tr w:rsidR="007578AE" w:rsidRPr="009D62BC" w14:paraId="3D5431A8" w14:textId="77777777" w:rsidTr="008C059D">
        <w:trPr>
          <w:gridAfter w:val="1"/>
          <w:wAfter w:w="9" w:type="dxa"/>
        </w:trPr>
        <w:tc>
          <w:tcPr>
            <w:tcW w:w="2067" w:type="dxa"/>
          </w:tcPr>
          <w:p w14:paraId="7F67B8AA" w14:textId="77777777" w:rsidR="007578AE" w:rsidRPr="00BA02FE" w:rsidRDefault="007578AE" w:rsidP="00674B9B">
            <w:pPr>
              <w:rPr>
                <w:noProof/>
                <w:sz w:val="20"/>
                <w:szCs w:val="20"/>
                <w:lang w:val="fr-CA"/>
              </w:rPr>
            </w:pPr>
            <w:r w:rsidRPr="00BA02FE">
              <w:rPr>
                <w:noProof/>
                <w:sz w:val="20"/>
                <w:szCs w:val="20"/>
                <w:lang w:val="fr-CA"/>
              </w:rPr>
              <w:t>34. Fonds distincts</w:t>
            </w:r>
          </w:p>
        </w:tc>
        <w:tc>
          <w:tcPr>
            <w:tcW w:w="3779" w:type="dxa"/>
          </w:tcPr>
          <w:p w14:paraId="49243B2F" w14:textId="77777777" w:rsidR="007578AE" w:rsidRPr="00BA02FE" w:rsidRDefault="007578AE" w:rsidP="00674B9B">
            <w:pPr>
              <w:rPr>
                <w:noProof/>
                <w:sz w:val="20"/>
                <w:szCs w:val="20"/>
                <w:lang w:val="fr-CA"/>
              </w:rPr>
            </w:pPr>
            <w:r w:rsidRPr="00BA02FE">
              <w:rPr>
                <w:noProof/>
                <w:sz w:val="20"/>
                <w:szCs w:val="20"/>
                <w:lang w:val="fr-CA"/>
              </w:rPr>
              <w:t>Catégorie d’investissement groupé similaire à un fonds commun de placement, mais considéré comme un produit d’assurance. Le produit reçu par la compagnie d’assurance est utilisé pour acquérir des actifs sous-jacents susceptibles de croiser des sous-catégories, puis les parts des fonds distincts sont vendues aux investisseurs. Les fonds distincts peuvent garantir un rendement spécifique sur la durée de vie du placement ou à l’échéance du fonds.</w:t>
            </w:r>
          </w:p>
        </w:tc>
        <w:tc>
          <w:tcPr>
            <w:tcW w:w="2524" w:type="dxa"/>
            <w:vAlign w:val="center"/>
          </w:tcPr>
          <w:p w14:paraId="0DFF436F" w14:textId="77777777" w:rsidR="007578AE" w:rsidRPr="00BA02FE" w:rsidRDefault="007578AE" w:rsidP="00674B9B">
            <w:pPr>
              <w:jc w:val="center"/>
              <w:rPr>
                <w:b/>
                <w:bCs/>
                <w:noProof/>
                <w:sz w:val="20"/>
                <w:szCs w:val="20"/>
                <w:lang w:val="fr-CA"/>
              </w:rPr>
            </w:pPr>
            <w:r w:rsidRPr="00BA02FE">
              <w:rPr>
                <w:b/>
                <w:bCs/>
                <w:noProof/>
                <w:sz w:val="20"/>
                <w:szCs w:val="20"/>
                <w:lang w:val="fr-CA"/>
              </w:rPr>
              <w:t>Sujet à variation</w:t>
            </w:r>
          </w:p>
        </w:tc>
        <w:tc>
          <w:tcPr>
            <w:tcW w:w="3062" w:type="dxa"/>
            <w:vAlign w:val="center"/>
          </w:tcPr>
          <w:p w14:paraId="14CAA622" w14:textId="77777777" w:rsidR="007578AE" w:rsidRPr="00BA02FE" w:rsidRDefault="007578AE" w:rsidP="00674B9B">
            <w:pPr>
              <w:rPr>
                <w:noProof/>
                <w:sz w:val="20"/>
                <w:szCs w:val="20"/>
                <w:lang w:val="fr-CA"/>
              </w:rPr>
            </w:pPr>
            <w:r w:rsidRPr="00BA02FE">
              <w:rPr>
                <w:noProof/>
                <w:sz w:val="20"/>
                <w:szCs w:val="20"/>
                <w:lang w:val="fr-CA"/>
              </w:rPr>
              <w:t>Remarque : Il existe aussi bien des fonds distincts individuels destinés à des clients individuels et traités par Fundserv) que des fonds distincts de retraite collectifs, généralement non traités par Fundserv); l</w:t>
            </w:r>
            <w:r>
              <w:rPr>
                <w:noProof/>
                <w:sz w:val="20"/>
                <w:szCs w:val="20"/>
                <w:lang w:val="fr-CA"/>
              </w:rPr>
              <w:t>’</w:t>
            </w:r>
            <w:r w:rsidRPr="00BA02FE">
              <w:rPr>
                <w:noProof/>
                <w:sz w:val="20"/>
                <w:szCs w:val="20"/>
                <w:lang w:val="fr-CA"/>
              </w:rPr>
              <w:t>effet du T+1 sur les fonds distincts collectifs est en cours d</w:t>
            </w:r>
            <w:r>
              <w:rPr>
                <w:noProof/>
                <w:sz w:val="20"/>
                <w:szCs w:val="20"/>
                <w:lang w:val="fr-CA"/>
              </w:rPr>
              <w:t>’</w:t>
            </w:r>
            <w:r w:rsidRPr="00BA02FE">
              <w:rPr>
                <w:noProof/>
                <w:sz w:val="20"/>
                <w:szCs w:val="20"/>
                <w:lang w:val="fr-CA"/>
              </w:rPr>
              <w:t>étude.</w:t>
            </w:r>
          </w:p>
        </w:tc>
      </w:tr>
      <w:tr w:rsidR="0031086E" w:rsidRPr="009D62BC" w14:paraId="57686453" w14:textId="77777777" w:rsidTr="008C059D">
        <w:trPr>
          <w:gridAfter w:val="1"/>
          <w:wAfter w:w="9" w:type="dxa"/>
          <w:trHeight w:val="80"/>
        </w:trPr>
        <w:tc>
          <w:tcPr>
            <w:tcW w:w="2067" w:type="dxa"/>
          </w:tcPr>
          <w:p w14:paraId="5F9E15AF" w14:textId="7A833EE1" w:rsidR="0031086E" w:rsidRPr="003B2A44" w:rsidRDefault="0031086E" w:rsidP="0031086E">
            <w:pPr>
              <w:ind w:left="345" w:hanging="360"/>
              <w:rPr>
                <w:noProof/>
                <w:sz w:val="20"/>
                <w:szCs w:val="20"/>
                <w:lang w:val="fr-CA"/>
              </w:rPr>
            </w:pPr>
            <w:r w:rsidRPr="00BA02FE">
              <w:rPr>
                <w:noProof/>
                <w:sz w:val="20"/>
                <w:szCs w:val="20"/>
                <w:lang w:val="fr-CA"/>
              </w:rPr>
              <w:lastRenderedPageBreak/>
              <w:t>3</w:t>
            </w:r>
            <w:r w:rsidR="008C059D">
              <w:rPr>
                <w:noProof/>
                <w:sz w:val="20"/>
                <w:szCs w:val="20"/>
                <w:lang w:val="fr-CA"/>
              </w:rPr>
              <w:t>8</w:t>
            </w:r>
            <w:r w:rsidRPr="00BA02FE">
              <w:rPr>
                <w:noProof/>
                <w:sz w:val="20"/>
                <w:szCs w:val="20"/>
                <w:lang w:val="fr-CA"/>
              </w:rPr>
              <w:t xml:space="preserve">. </w:t>
            </w:r>
            <w:r w:rsidRPr="00BA02FE">
              <w:rPr>
                <w:noProof/>
                <w:sz w:val="20"/>
                <w:szCs w:val="20"/>
                <w:lang w:val="fr-CA"/>
              </w:rPr>
              <w:tab/>
              <w:t>Fonds spéculatifs (privés)</w:t>
            </w:r>
          </w:p>
        </w:tc>
        <w:tc>
          <w:tcPr>
            <w:tcW w:w="3779" w:type="dxa"/>
          </w:tcPr>
          <w:p w14:paraId="4EB2BB4E" w14:textId="6AD33B72" w:rsidR="0031086E" w:rsidRPr="003B2A44" w:rsidRDefault="0031086E" w:rsidP="0031086E">
            <w:pPr>
              <w:pStyle w:val="ListParagraph"/>
              <w:numPr>
                <w:ilvl w:val="0"/>
                <w:numId w:val="3"/>
              </w:numPr>
              <w:rPr>
                <w:noProof/>
                <w:sz w:val="20"/>
                <w:szCs w:val="20"/>
                <w:lang w:val="fr-CA"/>
              </w:rPr>
            </w:pPr>
            <w:r w:rsidRPr="00BA02FE">
              <w:rPr>
                <w:noProof/>
                <w:sz w:val="20"/>
                <w:szCs w:val="20"/>
                <w:lang w:val="fr-CA"/>
              </w:rPr>
              <w:t>Portefeuille de placements normalement géré de manière agressive, qui utilise des stratégies d’investissement avancées comme des positions à effet de levier, longues, courtes et dérivées sur les marchés nationaux et internationaux, avec pour objectif de générer des rendements élevés (soit dans un sens absolu, soit sur un indice de référence du marché spécifié).</w:t>
            </w:r>
          </w:p>
        </w:tc>
        <w:tc>
          <w:tcPr>
            <w:tcW w:w="2524" w:type="dxa"/>
            <w:vAlign w:val="center"/>
          </w:tcPr>
          <w:p w14:paraId="39C88C48" w14:textId="449C6F1D" w:rsidR="0031086E" w:rsidRPr="00BA02FE" w:rsidRDefault="0031086E" w:rsidP="00FA791E">
            <w:pPr>
              <w:jc w:val="center"/>
              <w:rPr>
                <w:noProof/>
                <w:sz w:val="20"/>
                <w:szCs w:val="20"/>
                <w:lang w:val="fr-CA"/>
              </w:rPr>
            </w:pPr>
            <w:r w:rsidRPr="00BA02FE">
              <w:rPr>
                <w:noProof/>
                <w:sz w:val="20"/>
                <w:szCs w:val="20"/>
                <w:lang w:val="fr-CA"/>
              </w:rPr>
              <w:t>Consulter le prospectus</w:t>
            </w:r>
          </w:p>
        </w:tc>
        <w:tc>
          <w:tcPr>
            <w:tcW w:w="3062" w:type="dxa"/>
            <w:vAlign w:val="center"/>
          </w:tcPr>
          <w:p w14:paraId="5DBA840A" w14:textId="405F7830" w:rsidR="0031086E" w:rsidRPr="00BA02FE" w:rsidRDefault="0031086E" w:rsidP="0031086E">
            <w:pPr>
              <w:rPr>
                <w:noProof/>
                <w:sz w:val="20"/>
                <w:szCs w:val="20"/>
                <w:lang w:val="fr-CA"/>
              </w:rPr>
            </w:pPr>
            <w:r w:rsidRPr="00BA02FE">
              <w:rPr>
                <w:noProof/>
                <w:sz w:val="20"/>
                <w:szCs w:val="20"/>
                <w:lang w:val="fr-CA"/>
              </w:rPr>
              <w:t>Au Canada, l’émetteur de ces fonds publie les dispositions afférentes au règlement dans le prospectus ou la notice d’offre.</w:t>
            </w:r>
          </w:p>
        </w:tc>
      </w:tr>
      <w:tr w:rsidR="008C059D" w:rsidRPr="009D62BC" w14:paraId="66E55C71" w14:textId="77777777" w:rsidTr="008C059D">
        <w:trPr>
          <w:gridAfter w:val="1"/>
          <w:wAfter w:w="9" w:type="dxa"/>
          <w:trHeight w:val="1655"/>
        </w:trPr>
        <w:tc>
          <w:tcPr>
            <w:tcW w:w="2067" w:type="dxa"/>
            <w:vMerge w:val="restart"/>
          </w:tcPr>
          <w:p w14:paraId="25D47E51" w14:textId="7E139DB6" w:rsidR="008C059D" w:rsidRPr="00BF5975" w:rsidRDefault="008C059D" w:rsidP="00BF5975">
            <w:pPr>
              <w:pStyle w:val="ListParagraph"/>
              <w:numPr>
                <w:ilvl w:val="0"/>
                <w:numId w:val="32"/>
              </w:numPr>
              <w:ind w:left="345"/>
              <w:rPr>
                <w:noProof/>
                <w:sz w:val="20"/>
                <w:szCs w:val="20"/>
                <w:lang w:val="fr-CA"/>
              </w:rPr>
            </w:pPr>
            <w:r w:rsidRPr="00BF5975">
              <w:rPr>
                <w:noProof/>
                <w:sz w:val="20"/>
                <w:szCs w:val="20"/>
                <w:lang w:val="fr-CA"/>
              </w:rPr>
              <w:t>Produits structurés</w:t>
            </w:r>
          </w:p>
        </w:tc>
        <w:tc>
          <w:tcPr>
            <w:tcW w:w="3779" w:type="dxa"/>
          </w:tcPr>
          <w:p w14:paraId="63FEA5E4" w14:textId="77777777" w:rsidR="008C059D" w:rsidRPr="00BA02FE" w:rsidRDefault="008C059D" w:rsidP="00674B9B">
            <w:pPr>
              <w:rPr>
                <w:noProof/>
                <w:sz w:val="20"/>
                <w:szCs w:val="20"/>
                <w:lang w:val="fr-CA"/>
              </w:rPr>
            </w:pPr>
            <w:r w:rsidRPr="00BA02FE">
              <w:rPr>
                <w:noProof/>
                <w:sz w:val="20"/>
                <w:szCs w:val="20"/>
                <w:lang w:val="fr-CA"/>
              </w:rPr>
              <w:t xml:space="preserve">Selon la définition étendue utilisée par les organismes de réglementation (SEC, NASD et NYSE), un « produit structuré » désigne un titre dérivé ou basé sur un autre titre (y compris une obligation), un panier de titres, un indice (par exemple, obligations indexées sur le marché/indices), une matière première ou une devise étrangère. Parmi les exemples courants, </w:t>
            </w:r>
            <w:r>
              <w:rPr>
                <w:noProof/>
                <w:sz w:val="20"/>
                <w:szCs w:val="20"/>
                <w:lang w:val="fr-CA"/>
              </w:rPr>
              <w:t xml:space="preserve">et outre les FNB indiqués ci-haut pour leur passage à T+1, </w:t>
            </w:r>
            <w:r w:rsidRPr="00BA02FE">
              <w:rPr>
                <w:noProof/>
                <w:sz w:val="20"/>
                <w:szCs w:val="20"/>
                <w:lang w:val="fr-CA"/>
              </w:rPr>
              <w:t>figurent :</w:t>
            </w:r>
          </w:p>
        </w:tc>
        <w:tc>
          <w:tcPr>
            <w:tcW w:w="2524" w:type="dxa"/>
          </w:tcPr>
          <w:p w14:paraId="3B2F0C12" w14:textId="77777777" w:rsidR="008C059D" w:rsidRPr="00BA02FE" w:rsidRDefault="008C059D" w:rsidP="00674B9B">
            <w:pPr>
              <w:jc w:val="center"/>
              <w:rPr>
                <w:noProof/>
                <w:sz w:val="20"/>
                <w:szCs w:val="20"/>
                <w:lang w:val="fr-CA"/>
              </w:rPr>
            </w:pPr>
            <w:r w:rsidRPr="00BA02FE">
              <w:rPr>
                <w:noProof/>
                <w:sz w:val="20"/>
                <w:szCs w:val="20"/>
                <w:lang w:val="fr-CA"/>
              </w:rPr>
              <w:t>Consulter le prospectus</w:t>
            </w:r>
          </w:p>
        </w:tc>
        <w:tc>
          <w:tcPr>
            <w:tcW w:w="3062" w:type="dxa"/>
          </w:tcPr>
          <w:p w14:paraId="16EEEC21" w14:textId="77777777" w:rsidR="008C059D" w:rsidRPr="00BA02FE" w:rsidRDefault="008C059D" w:rsidP="00674B9B">
            <w:pPr>
              <w:rPr>
                <w:noProof/>
                <w:sz w:val="20"/>
                <w:szCs w:val="20"/>
                <w:lang w:val="fr-CA"/>
              </w:rPr>
            </w:pPr>
            <w:r w:rsidRPr="00BA02FE">
              <w:rPr>
                <w:noProof/>
                <w:sz w:val="20"/>
                <w:szCs w:val="20"/>
                <w:lang w:val="fr-CA"/>
              </w:rPr>
              <w:t>Se reporter à la disposition relative au règlement dans le prospectus ou la notice d’offre.</w:t>
            </w:r>
          </w:p>
        </w:tc>
      </w:tr>
      <w:tr w:rsidR="008C059D" w:rsidRPr="009D62BC" w14:paraId="16691172" w14:textId="77777777" w:rsidTr="008C059D">
        <w:trPr>
          <w:gridAfter w:val="1"/>
          <w:wAfter w:w="9" w:type="dxa"/>
        </w:trPr>
        <w:tc>
          <w:tcPr>
            <w:tcW w:w="2067" w:type="dxa"/>
            <w:vMerge/>
          </w:tcPr>
          <w:p w14:paraId="08184C92" w14:textId="77777777" w:rsidR="008C059D" w:rsidRPr="00BA02FE" w:rsidRDefault="008C059D" w:rsidP="00674B9B">
            <w:pPr>
              <w:pStyle w:val="ListParagraph"/>
              <w:numPr>
                <w:ilvl w:val="0"/>
                <w:numId w:val="11"/>
              </w:numPr>
              <w:rPr>
                <w:noProof/>
                <w:sz w:val="20"/>
                <w:szCs w:val="20"/>
                <w:lang w:val="fr-CA"/>
              </w:rPr>
            </w:pPr>
          </w:p>
        </w:tc>
        <w:tc>
          <w:tcPr>
            <w:tcW w:w="3779" w:type="dxa"/>
          </w:tcPr>
          <w:p w14:paraId="273E37A3" w14:textId="77777777" w:rsidR="008C059D" w:rsidRPr="00BA02FE" w:rsidRDefault="008C059D" w:rsidP="00674B9B">
            <w:pPr>
              <w:pStyle w:val="ListParagraph"/>
              <w:numPr>
                <w:ilvl w:val="0"/>
                <w:numId w:val="3"/>
              </w:numPr>
              <w:rPr>
                <w:noProof/>
                <w:sz w:val="20"/>
                <w:szCs w:val="20"/>
                <w:lang w:val="fr-CA"/>
              </w:rPr>
            </w:pPr>
            <w:r w:rsidRPr="00BA02FE">
              <w:rPr>
                <w:noProof/>
                <w:sz w:val="20"/>
                <w:szCs w:val="20"/>
                <w:lang w:val="fr-CA"/>
              </w:rPr>
              <w:t>Billets négociés en bourse (BNB)</w:t>
            </w:r>
          </w:p>
        </w:tc>
        <w:tc>
          <w:tcPr>
            <w:tcW w:w="2524" w:type="dxa"/>
          </w:tcPr>
          <w:p w14:paraId="18E91D57" w14:textId="77777777" w:rsidR="008C059D" w:rsidRPr="00BA02FE" w:rsidRDefault="008C059D" w:rsidP="00674B9B">
            <w:pPr>
              <w:jc w:val="center"/>
              <w:rPr>
                <w:noProof/>
                <w:sz w:val="20"/>
                <w:szCs w:val="20"/>
                <w:lang w:val="fr-CA"/>
              </w:rPr>
            </w:pPr>
            <w:r>
              <w:rPr>
                <w:sz w:val="20"/>
                <w:szCs w:val="20"/>
              </w:rPr>
              <w:t>Consulter le</w:t>
            </w:r>
            <w:r w:rsidRPr="005E7942">
              <w:rPr>
                <w:sz w:val="20"/>
                <w:szCs w:val="20"/>
              </w:rPr>
              <w:t xml:space="preserve"> prospectus</w:t>
            </w:r>
          </w:p>
        </w:tc>
        <w:tc>
          <w:tcPr>
            <w:tcW w:w="3062" w:type="dxa"/>
          </w:tcPr>
          <w:p w14:paraId="42176421" w14:textId="77777777" w:rsidR="008C059D" w:rsidRPr="00BA02FE" w:rsidRDefault="008C059D" w:rsidP="00674B9B">
            <w:pPr>
              <w:rPr>
                <w:noProof/>
                <w:sz w:val="20"/>
                <w:szCs w:val="20"/>
                <w:lang w:val="fr-CA"/>
              </w:rPr>
            </w:pPr>
            <w:r w:rsidRPr="009731AD">
              <w:rPr>
                <w:noProof/>
                <w:sz w:val="20"/>
                <w:szCs w:val="20"/>
                <w:lang w:val="fr-CA"/>
              </w:rPr>
              <w:t>Consulter la disposition afférente au règlement dans le prospectus ou la notice d</w:t>
            </w:r>
            <w:r>
              <w:rPr>
                <w:noProof/>
                <w:sz w:val="20"/>
                <w:szCs w:val="20"/>
                <w:lang w:val="fr-CA"/>
              </w:rPr>
              <w:t>’</w:t>
            </w:r>
            <w:r w:rsidRPr="009731AD">
              <w:rPr>
                <w:noProof/>
                <w:sz w:val="20"/>
                <w:szCs w:val="20"/>
                <w:lang w:val="fr-CA"/>
              </w:rPr>
              <w:t>offre.</w:t>
            </w:r>
          </w:p>
        </w:tc>
      </w:tr>
      <w:tr w:rsidR="008C059D" w:rsidRPr="009D62BC" w14:paraId="7973EE3B" w14:textId="77777777" w:rsidTr="008C059D">
        <w:trPr>
          <w:gridAfter w:val="1"/>
          <w:wAfter w:w="9" w:type="dxa"/>
        </w:trPr>
        <w:tc>
          <w:tcPr>
            <w:tcW w:w="2067" w:type="dxa"/>
            <w:vMerge/>
          </w:tcPr>
          <w:p w14:paraId="57CEF284" w14:textId="77777777" w:rsidR="008C059D" w:rsidRPr="00BA02FE" w:rsidRDefault="008C059D" w:rsidP="00674B9B">
            <w:pPr>
              <w:pStyle w:val="ListParagraph"/>
              <w:numPr>
                <w:ilvl w:val="0"/>
                <w:numId w:val="11"/>
              </w:numPr>
              <w:rPr>
                <w:noProof/>
                <w:sz w:val="20"/>
                <w:szCs w:val="20"/>
                <w:lang w:val="fr-CA"/>
              </w:rPr>
            </w:pPr>
          </w:p>
        </w:tc>
        <w:tc>
          <w:tcPr>
            <w:tcW w:w="3779" w:type="dxa"/>
          </w:tcPr>
          <w:p w14:paraId="393AA352" w14:textId="77777777" w:rsidR="008C059D" w:rsidRPr="00BA02FE" w:rsidRDefault="008C059D" w:rsidP="00674B9B">
            <w:pPr>
              <w:pStyle w:val="ListParagraph"/>
              <w:numPr>
                <w:ilvl w:val="0"/>
                <w:numId w:val="3"/>
              </w:numPr>
              <w:rPr>
                <w:noProof/>
                <w:sz w:val="20"/>
                <w:szCs w:val="20"/>
                <w:lang w:val="fr-CA"/>
              </w:rPr>
            </w:pPr>
            <w:r w:rsidRPr="009731AD">
              <w:rPr>
                <w:noProof/>
                <w:sz w:val="20"/>
                <w:szCs w:val="20"/>
                <w:lang w:val="fr-CA"/>
              </w:rPr>
              <w:t>Marchandises cotées en bourse (</w:t>
            </w:r>
            <w:r>
              <w:rPr>
                <w:noProof/>
                <w:sz w:val="20"/>
                <w:szCs w:val="20"/>
                <w:lang w:val="fr-CA"/>
              </w:rPr>
              <w:t>MCB</w:t>
            </w:r>
            <w:r w:rsidRPr="009731AD">
              <w:rPr>
                <w:noProof/>
                <w:sz w:val="20"/>
                <w:szCs w:val="20"/>
                <w:lang w:val="fr-CA"/>
              </w:rPr>
              <w:t>)</w:t>
            </w:r>
          </w:p>
        </w:tc>
        <w:tc>
          <w:tcPr>
            <w:tcW w:w="2524" w:type="dxa"/>
          </w:tcPr>
          <w:p w14:paraId="199853D0" w14:textId="77777777" w:rsidR="008C059D" w:rsidRDefault="008C059D" w:rsidP="00674B9B">
            <w:pPr>
              <w:jc w:val="center"/>
              <w:rPr>
                <w:sz w:val="20"/>
                <w:szCs w:val="20"/>
              </w:rPr>
            </w:pPr>
            <w:r>
              <w:rPr>
                <w:sz w:val="20"/>
                <w:szCs w:val="20"/>
              </w:rPr>
              <w:t>Consulter le</w:t>
            </w:r>
            <w:r w:rsidRPr="005E7942">
              <w:rPr>
                <w:sz w:val="20"/>
                <w:szCs w:val="20"/>
              </w:rPr>
              <w:t xml:space="preserve"> prospectus</w:t>
            </w:r>
          </w:p>
        </w:tc>
        <w:tc>
          <w:tcPr>
            <w:tcW w:w="3062" w:type="dxa"/>
          </w:tcPr>
          <w:p w14:paraId="03D40FEF" w14:textId="77777777" w:rsidR="008C059D" w:rsidRPr="009731AD" w:rsidRDefault="008C059D" w:rsidP="00674B9B">
            <w:pPr>
              <w:rPr>
                <w:noProof/>
                <w:sz w:val="20"/>
                <w:szCs w:val="20"/>
                <w:lang w:val="fr-CA"/>
              </w:rPr>
            </w:pPr>
            <w:r w:rsidRPr="009731AD">
              <w:rPr>
                <w:noProof/>
                <w:sz w:val="20"/>
                <w:szCs w:val="20"/>
                <w:lang w:val="fr-CA"/>
              </w:rPr>
              <w:t>Consulter la disposition afférente au règlement dans le prospectus ou la notice d</w:t>
            </w:r>
            <w:r>
              <w:rPr>
                <w:noProof/>
                <w:sz w:val="20"/>
                <w:szCs w:val="20"/>
                <w:lang w:val="fr-CA"/>
              </w:rPr>
              <w:t>’</w:t>
            </w:r>
            <w:r w:rsidRPr="009731AD">
              <w:rPr>
                <w:noProof/>
                <w:sz w:val="20"/>
                <w:szCs w:val="20"/>
                <w:lang w:val="fr-CA"/>
              </w:rPr>
              <w:t>offre.</w:t>
            </w:r>
          </w:p>
        </w:tc>
      </w:tr>
      <w:tr w:rsidR="008C059D" w:rsidRPr="009D62BC" w14:paraId="53E78DB4" w14:textId="77777777" w:rsidTr="008C059D">
        <w:trPr>
          <w:gridAfter w:val="1"/>
          <w:wAfter w:w="9" w:type="dxa"/>
        </w:trPr>
        <w:tc>
          <w:tcPr>
            <w:tcW w:w="2067" w:type="dxa"/>
            <w:vMerge/>
          </w:tcPr>
          <w:p w14:paraId="6F87464A" w14:textId="77777777" w:rsidR="008C059D" w:rsidRPr="00BA02FE" w:rsidRDefault="008C059D" w:rsidP="00674B9B">
            <w:pPr>
              <w:pStyle w:val="ListParagraph"/>
              <w:numPr>
                <w:ilvl w:val="0"/>
                <w:numId w:val="11"/>
              </w:numPr>
              <w:rPr>
                <w:noProof/>
                <w:sz w:val="20"/>
                <w:szCs w:val="20"/>
                <w:lang w:val="fr-CA"/>
              </w:rPr>
            </w:pPr>
          </w:p>
        </w:tc>
        <w:tc>
          <w:tcPr>
            <w:tcW w:w="3779" w:type="dxa"/>
          </w:tcPr>
          <w:p w14:paraId="33A084A3" w14:textId="77777777" w:rsidR="008C059D" w:rsidRPr="00BA02FE" w:rsidRDefault="008C059D" w:rsidP="00674B9B">
            <w:pPr>
              <w:pStyle w:val="ListParagraph"/>
              <w:numPr>
                <w:ilvl w:val="0"/>
                <w:numId w:val="3"/>
              </w:numPr>
              <w:rPr>
                <w:noProof/>
                <w:sz w:val="20"/>
                <w:szCs w:val="20"/>
                <w:lang w:val="fr-CA"/>
              </w:rPr>
            </w:pPr>
            <w:r w:rsidRPr="00BA02FE">
              <w:rPr>
                <w:noProof/>
                <w:sz w:val="20"/>
                <w:szCs w:val="20"/>
                <w:lang w:val="fr-CA"/>
              </w:rPr>
              <w:t>Billet de capital à risque (BCR)</w:t>
            </w:r>
          </w:p>
        </w:tc>
        <w:tc>
          <w:tcPr>
            <w:tcW w:w="2524" w:type="dxa"/>
          </w:tcPr>
          <w:p w14:paraId="300D2F84" w14:textId="77777777" w:rsidR="008C059D" w:rsidRPr="00BA02FE" w:rsidRDefault="008C059D" w:rsidP="00674B9B">
            <w:pPr>
              <w:jc w:val="center"/>
              <w:rPr>
                <w:noProof/>
                <w:sz w:val="20"/>
                <w:szCs w:val="20"/>
                <w:lang w:val="fr-CA"/>
              </w:rPr>
            </w:pPr>
            <w:r w:rsidRPr="00BA02FE">
              <w:rPr>
                <w:noProof/>
                <w:sz w:val="20"/>
                <w:szCs w:val="20"/>
                <w:lang w:val="fr-CA"/>
              </w:rPr>
              <w:t>Exclus</w:t>
            </w:r>
          </w:p>
        </w:tc>
        <w:tc>
          <w:tcPr>
            <w:tcW w:w="3062" w:type="dxa"/>
          </w:tcPr>
          <w:p w14:paraId="04E4ADAE" w14:textId="77777777" w:rsidR="008C059D" w:rsidRPr="00BA02FE" w:rsidRDefault="008C059D" w:rsidP="00674B9B">
            <w:pPr>
              <w:rPr>
                <w:noProof/>
                <w:sz w:val="20"/>
                <w:szCs w:val="20"/>
                <w:lang w:val="fr-CA"/>
              </w:rPr>
            </w:pPr>
            <w:r w:rsidRPr="00BA02FE">
              <w:rPr>
                <w:noProof/>
                <w:sz w:val="20"/>
                <w:szCs w:val="20"/>
                <w:lang w:val="fr-CA"/>
              </w:rPr>
              <w:t>Selon l’émetteur; non compensé par la CDS</w:t>
            </w:r>
          </w:p>
        </w:tc>
      </w:tr>
      <w:tr w:rsidR="008C059D" w:rsidRPr="009D62BC" w14:paraId="6C17BB49" w14:textId="77777777" w:rsidTr="008C059D">
        <w:trPr>
          <w:gridAfter w:val="1"/>
          <w:wAfter w:w="9" w:type="dxa"/>
        </w:trPr>
        <w:tc>
          <w:tcPr>
            <w:tcW w:w="2067" w:type="dxa"/>
            <w:vMerge/>
          </w:tcPr>
          <w:p w14:paraId="753413A5" w14:textId="77777777" w:rsidR="008C059D" w:rsidRPr="00BA02FE" w:rsidRDefault="008C059D" w:rsidP="00674B9B">
            <w:pPr>
              <w:pStyle w:val="ListParagraph"/>
              <w:numPr>
                <w:ilvl w:val="0"/>
                <w:numId w:val="11"/>
              </w:numPr>
              <w:rPr>
                <w:noProof/>
                <w:sz w:val="20"/>
                <w:szCs w:val="20"/>
                <w:lang w:val="fr-CA"/>
              </w:rPr>
            </w:pPr>
          </w:p>
        </w:tc>
        <w:tc>
          <w:tcPr>
            <w:tcW w:w="3779" w:type="dxa"/>
          </w:tcPr>
          <w:p w14:paraId="69E2984D" w14:textId="77777777" w:rsidR="008C059D" w:rsidRPr="00BA02FE" w:rsidRDefault="008C059D" w:rsidP="00674B9B">
            <w:pPr>
              <w:pStyle w:val="ListParagraph"/>
              <w:numPr>
                <w:ilvl w:val="0"/>
                <w:numId w:val="3"/>
              </w:numPr>
              <w:rPr>
                <w:noProof/>
                <w:sz w:val="20"/>
                <w:szCs w:val="20"/>
                <w:lang w:val="fr-CA"/>
              </w:rPr>
            </w:pPr>
            <w:r w:rsidRPr="00BA02FE">
              <w:rPr>
                <w:noProof/>
                <w:sz w:val="20"/>
                <w:szCs w:val="20"/>
                <w:lang w:val="fr-CA"/>
              </w:rPr>
              <w:t>Billets à capital protégé (BCP)</w:t>
            </w:r>
          </w:p>
        </w:tc>
        <w:tc>
          <w:tcPr>
            <w:tcW w:w="2524" w:type="dxa"/>
          </w:tcPr>
          <w:p w14:paraId="34F9A973" w14:textId="77777777" w:rsidR="008C059D" w:rsidRPr="00BA02FE" w:rsidRDefault="008C059D" w:rsidP="00674B9B">
            <w:pPr>
              <w:jc w:val="center"/>
              <w:rPr>
                <w:noProof/>
                <w:sz w:val="20"/>
                <w:szCs w:val="20"/>
                <w:lang w:val="fr-CA"/>
              </w:rPr>
            </w:pPr>
            <w:r w:rsidRPr="00BA02FE">
              <w:rPr>
                <w:noProof/>
                <w:sz w:val="20"/>
                <w:szCs w:val="20"/>
                <w:lang w:val="fr-CA"/>
              </w:rPr>
              <w:t>Exclus</w:t>
            </w:r>
          </w:p>
        </w:tc>
        <w:tc>
          <w:tcPr>
            <w:tcW w:w="3062" w:type="dxa"/>
          </w:tcPr>
          <w:p w14:paraId="68E674B2" w14:textId="77777777" w:rsidR="008C059D" w:rsidRPr="00BA02FE" w:rsidRDefault="008C059D" w:rsidP="00674B9B">
            <w:pPr>
              <w:rPr>
                <w:noProof/>
                <w:sz w:val="20"/>
                <w:szCs w:val="20"/>
                <w:lang w:val="fr-CA"/>
              </w:rPr>
            </w:pPr>
            <w:r w:rsidRPr="00BA02FE">
              <w:rPr>
                <w:noProof/>
                <w:sz w:val="20"/>
                <w:szCs w:val="20"/>
                <w:lang w:val="fr-CA"/>
              </w:rPr>
              <w:t>Selon l’émetteur; non compensé par la CDS</w:t>
            </w:r>
          </w:p>
        </w:tc>
      </w:tr>
      <w:tr w:rsidR="008C059D" w:rsidRPr="009D62BC" w14:paraId="553CB5E1" w14:textId="77777777" w:rsidTr="008C059D">
        <w:trPr>
          <w:gridAfter w:val="1"/>
          <w:wAfter w:w="9" w:type="dxa"/>
        </w:trPr>
        <w:tc>
          <w:tcPr>
            <w:tcW w:w="2067" w:type="dxa"/>
            <w:vMerge/>
          </w:tcPr>
          <w:p w14:paraId="6578CB90" w14:textId="77777777" w:rsidR="008C059D" w:rsidRPr="00BA02FE" w:rsidRDefault="008C059D" w:rsidP="00674B9B">
            <w:pPr>
              <w:pStyle w:val="ListParagraph"/>
              <w:numPr>
                <w:ilvl w:val="0"/>
                <w:numId w:val="11"/>
              </w:numPr>
              <w:rPr>
                <w:noProof/>
                <w:sz w:val="20"/>
                <w:szCs w:val="20"/>
                <w:lang w:val="fr-CA"/>
              </w:rPr>
            </w:pPr>
          </w:p>
        </w:tc>
        <w:tc>
          <w:tcPr>
            <w:tcW w:w="3779" w:type="dxa"/>
          </w:tcPr>
          <w:p w14:paraId="662650D1" w14:textId="77777777" w:rsidR="008C059D" w:rsidRPr="00BA02FE" w:rsidRDefault="008C059D" w:rsidP="00674B9B">
            <w:pPr>
              <w:pStyle w:val="ListParagraph"/>
              <w:numPr>
                <w:ilvl w:val="0"/>
                <w:numId w:val="3"/>
              </w:numPr>
              <w:rPr>
                <w:noProof/>
                <w:sz w:val="20"/>
                <w:szCs w:val="20"/>
                <w:lang w:val="fr-CA"/>
              </w:rPr>
            </w:pPr>
            <w:r>
              <w:rPr>
                <w:noProof/>
                <w:sz w:val="20"/>
                <w:szCs w:val="20"/>
                <w:lang w:val="fr-CA"/>
              </w:rPr>
              <w:t>Billets à capital non protégé (BCNP)</w:t>
            </w:r>
          </w:p>
        </w:tc>
        <w:tc>
          <w:tcPr>
            <w:tcW w:w="2524" w:type="dxa"/>
          </w:tcPr>
          <w:p w14:paraId="66F74547" w14:textId="77777777" w:rsidR="008C059D" w:rsidRPr="00BA02FE" w:rsidRDefault="008C059D" w:rsidP="00674B9B">
            <w:pPr>
              <w:jc w:val="center"/>
              <w:rPr>
                <w:noProof/>
                <w:sz w:val="20"/>
                <w:szCs w:val="20"/>
                <w:lang w:val="fr-CA"/>
              </w:rPr>
            </w:pPr>
            <w:r>
              <w:rPr>
                <w:noProof/>
                <w:sz w:val="20"/>
                <w:szCs w:val="20"/>
                <w:lang w:val="fr-CA"/>
              </w:rPr>
              <w:t>Exclus</w:t>
            </w:r>
          </w:p>
        </w:tc>
        <w:tc>
          <w:tcPr>
            <w:tcW w:w="3062" w:type="dxa"/>
          </w:tcPr>
          <w:p w14:paraId="3729AF74" w14:textId="77777777" w:rsidR="008C059D" w:rsidRPr="00BA02FE" w:rsidRDefault="008C059D" w:rsidP="00674B9B">
            <w:pPr>
              <w:rPr>
                <w:noProof/>
                <w:sz w:val="20"/>
                <w:szCs w:val="20"/>
                <w:lang w:val="fr-CA"/>
              </w:rPr>
            </w:pPr>
            <w:r w:rsidRPr="00BA02FE">
              <w:rPr>
                <w:noProof/>
                <w:sz w:val="20"/>
                <w:szCs w:val="20"/>
                <w:lang w:val="fr-CA"/>
              </w:rPr>
              <w:t>Selon l’émetteur; non compensé par la CDS</w:t>
            </w:r>
          </w:p>
        </w:tc>
      </w:tr>
    </w:tbl>
    <w:p w14:paraId="3C0AB6BF" w14:textId="73FE5A12" w:rsidR="00D008DB" w:rsidRPr="00BA02FE" w:rsidRDefault="00D008DB" w:rsidP="00705771">
      <w:pPr>
        <w:spacing w:line="240" w:lineRule="auto"/>
        <w:rPr>
          <w:noProof/>
          <w:lang w:val="fr-CA"/>
        </w:rPr>
      </w:pPr>
    </w:p>
    <w:p w14:paraId="7FD268B6" w14:textId="2DB50D2F" w:rsidR="007E27EB" w:rsidRPr="00BA02FE" w:rsidRDefault="004B0C03" w:rsidP="00705771">
      <w:pPr>
        <w:spacing w:line="240" w:lineRule="auto"/>
        <w:ind w:left="180"/>
        <w:rPr>
          <w:b/>
          <w:bCs/>
          <w:noProof/>
          <w:color w:val="FF0000"/>
          <w:sz w:val="22"/>
          <w:lang w:val="fr-CA"/>
        </w:rPr>
      </w:pPr>
      <w:r w:rsidRPr="00BA02FE">
        <w:rPr>
          <w:b/>
          <w:bCs/>
          <w:noProof/>
          <w:color w:val="FF0000"/>
          <w:sz w:val="22"/>
          <w:lang w:val="fr-CA"/>
        </w:rPr>
        <w:t>Note</w:t>
      </w:r>
      <w:r w:rsidR="00077C94" w:rsidRPr="00BA02FE">
        <w:rPr>
          <w:b/>
          <w:bCs/>
          <w:noProof/>
          <w:color w:val="FF0000"/>
          <w:sz w:val="22"/>
          <w:lang w:val="fr-CA"/>
        </w:rPr>
        <w:t xml:space="preserve"> </w:t>
      </w:r>
      <w:r w:rsidR="007E27EB" w:rsidRPr="00BA02FE">
        <w:rPr>
          <w:b/>
          <w:bCs/>
          <w:noProof/>
          <w:color w:val="FF0000"/>
          <w:sz w:val="22"/>
          <w:lang w:val="fr-CA"/>
        </w:rPr>
        <w:t>:</w:t>
      </w:r>
      <w:r w:rsidR="007E27EB" w:rsidRPr="00BA02FE">
        <w:rPr>
          <w:b/>
          <w:bCs/>
          <w:i/>
          <w:iCs/>
          <w:noProof/>
          <w:color w:val="FF0000"/>
          <w:sz w:val="22"/>
          <w:lang w:val="fr-CA"/>
        </w:rPr>
        <w:t xml:space="preserve"> </w:t>
      </w:r>
      <w:r w:rsidR="00211339" w:rsidRPr="00BA02FE">
        <w:rPr>
          <w:noProof/>
          <w:sz w:val="22"/>
          <w:lang w:val="fr-CA"/>
        </w:rPr>
        <w:t>Les fonds suivants sont globalement les mêmes : 4. Fonds à revenu fixe, 18. Fonds d</w:t>
      </w:r>
      <w:r w:rsidR="003D29D6" w:rsidRPr="00BA02FE">
        <w:rPr>
          <w:noProof/>
          <w:sz w:val="22"/>
          <w:lang w:val="fr-CA"/>
        </w:rPr>
        <w:t>’</w:t>
      </w:r>
      <w:r w:rsidR="00211339" w:rsidRPr="00BA02FE">
        <w:rPr>
          <w:noProof/>
          <w:sz w:val="22"/>
          <w:lang w:val="fr-CA"/>
        </w:rPr>
        <w:t>actions, et 31. Fonds équilibrés ci-dessus, répartis par référence réglementaire</w:t>
      </w:r>
      <w:r w:rsidR="007E27EB" w:rsidRPr="00BA02FE">
        <w:rPr>
          <w:noProof/>
          <w:sz w:val="22"/>
          <w:lang w:val="fr-CA"/>
        </w:rPr>
        <w:t>.</w:t>
      </w:r>
    </w:p>
    <w:p w14:paraId="3ABBD856" w14:textId="77777777" w:rsidR="007E27EB" w:rsidRPr="00BA02FE" w:rsidRDefault="007E27EB" w:rsidP="00705771">
      <w:pPr>
        <w:spacing w:line="240" w:lineRule="auto"/>
        <w:rPr>
          <w:noProof/>
          <w:sz w:val="22"/>
          <w:lang w:val="fr-CA"/>
        </w:rPr>
      </w:pPr>
    </w:p>
    <w:tbl>
      <w:tblPr>
        <w:tblStyle w:val="TableGrid"/>
        <w:tblpPr w:leftFromText="180" w:rightFromText="180" w:vertAnchor="text" w:tblpXSpec="right" w:tblpY="1"/>
        <w:tblOverlap w:val="never"/>
        <w:tblW w:w="11383" w:type="dxa"/>
        <w:tblLook w:val="04A0" w:firstRow="1" w:lastRow="0" w:firstColumn="1" w:lastColumn="0" w:noHBand="0" w:noVBand="1"/>
      </w:tblPr>
      <w:tblGrid>
        <w:gridCol w:w="1975"/>
        <w:gridCol w:w="3870"/>
        <w:gridCol w:w="2340"/>
        <w:gridCol w:w="3198"/>
      </w:tblGrid>
      <w:tr w:rsidR="00D008DB" w:rsidRPr="00BA02FE" w14:paraId="5C1A7E32" w14:textId="77777777" w:rsidTr="00E33D98">
        <w:trPr>
          <w:tblHeader/>
        </w:trPr>
        <w:tc>
          <w:tcPr>
            <w:tcW w:w="1975" w:type="dxa"/>
          </w:tcPr>
          <w:p w14:paraId="02118014" w14:textId="765B06CE" w:rsidR="00D008DB" w:rsidRPr="00BA02FE" w:rsidRDefault="00211339" w:rsidP="00705771">
            <w:pPr>
              <w:pStyle w:val="Default"/>
              <w:rPr>
                <w:noProof/>
                <w:sz w:val="22"/>
                <w:szCs w:val="22"/>
                <w:lang w:val="fr-CA"/>
              </w:rPr>
            </w:pPr>
            <w:r w:rsidRPr="00BA02FE">
              <w:rPr>
                <w:b/>
                <w:bCs/>
                <w:noProof/>
                <w:sz w:val="22"/>
                <w:szCs w:val="22"/>
                <w:lang w:val="fr-CA"/>
              </w:rPr>
              <w:t>Catégorie de titre</w:t>
            </w:r>
          </w:p>
        </w:tc>
        <w:tc>
          <w:tcPr>
            <w:tcW w:w="3870" w:type="dxa"/>
          </w:tcPr>
          <w:p w14:paraId="746B25B3" w14:textId="77777777" w:rsidR="00D008DB" w:rsidRPr="00BA02FE" w:rsidRDefault="00D008DB" w:rsidP="00705771">
            <w:pPr>
              <w:pStyle w:val="Default"/>
              <w:rPr>
                <w:noProof/>
                <w:sz w:val="22"/>
                <w:szCs w:val="22"/>
                <w:lang w:val="fr-CA"/>
              </w:rPr>
            </w:pPr>
            <w:r w:rsidRPr="00BA02FE">
              <w:rPr>
                <w:b/>
                <w:bCs/>
                <w:noProof/>
                <w:sz w:val="22"/>
                <w:szCs w:val="22"/>
                <w:lang w:val="fr-CA"/>
              </w:rPr>
              <w:t>Description</w:t>
            </w:r>
          </w:p>
        </w:tc>
        <w:tc>
          <w:tcPr>
            <w:tcW w:w="2340" w:type="dxa"/>
          </w:tcPr>
          <w:p w14:paraId="4D924B33" w14:textId="18102CB6" w:rsidR="00D008DB" w:rsidRPr="00BA02FE" w:rsidRDefault="00F469C5" w:rsidP="00705771">
            <w:pPr>
              <w:pStyle w:val="Default"/>
              <w:rPr>
                <w:noProof/>
                <w:sz w:val="22"/>
                <w:szCs w:val="22"/>
                <w:lang w:val="fr-CA"/>
              </w:rPr>
            </w:pPr>
            <w:r w:rsidRPr="00BA02FE">
              <w:rPr>
                <w:b/>
                <w:bCs/>
                <w:noProof/>
                <w:sz w:val="22"/>
                <w:szCs w:val="22"/>
                <w:lang w:val="fr-CA"/>
              </w:rPr>
              <w:t>Passage à T+</w:t>
            </w:r>
            <w:r w:rsidR="002B71D0">
              <w:rPr>
                <w:b/>
                <w:bCs/>
                <w:noProof/>
                <w:sz w:val="22"/>
                <w:szCs w:val="22"/>
                <w:lang w:val="fr-CA"/>
              </w:rPr>
              <w:t>1</w:t>
            </w:r>
            <w:r w:rsidRPr="00BA02FE">
              <w:rPr>
                <w:b/>
                <w:bCs/>
                <w:noProof/>
                <w:sz w:val="22"/>
                <w:szCs w:val="22"/>
                <w:lang w:val="fr-CA"/>
              </w:rPr>
              <w:t>?</w:t>
            </w:r>
          </w:p>
        </w:tc>
        <w:tc>
          <w:tcPr>
            <w:tcW w:w="3198" w:type="dxa"/>
          </w:tcPr>
          <w:p w14:paraId="005BC829" w14:textId="420D57D0" w:rsidR="00D008DB" w:rsidRPr="00BA02FE" w:rsidRDefault="00D008DB" w:rsidP="00705771">
            <w:pPr>
              <w:pStyle w:val="Default"/>
              <w:rPr>
                <w:noProof/>
                <w:sz w:val="22"/>
                <w:szCs w:val="22"/>
                <w:lang w:val="fr-CA"/>
              </w:rPr>
            </w:pPr>
            <w:r w:rsidRPr="00BA02FE">
              <w:rPr>
                <w:b/>
                <w:bCs/>
                <w:noProof/>
                <w:sz w:val="22"/>
                <w:szCs w:val="22"/>
                <w:lang w:val="fr-CA"/>
              </w:rPr>
              <w:t>Comment</w:t>
            </w:r>
            <w:r w:rsidR="00F469C5" w:rsidRPr="00BA02FE">
              <w:rPr>
                <w:b/>
                <w:bCs/>
                <w:noProof/>
                <w:sz w:val="22"/>
                <w:szCs w:val="22"/>
                <w:lang w:val="fr-CA"/>
              </w:rPr>
              <w:t>aires</w:t>
            </w:r>
          </w:p>
        </w:tc>
      </w:tr>
      <w:tr w:rsidR="00D008DB" w:rsidRPr="009D62BC" w14:paraId="5B508A05" w14:textId="77777777" w:rsidTr="00E33D98">
        <w:tc>
          <w:tcPr>
            <w:tcW w:w="11383" w:type="dxa"/>
            <w:gridSpan w:val="4"/>
          </w:tcPr>
          <w:p w14:paraId="7F6831EF" w14:textId="6A7C91A0" w:rsidR="007E27EB" w:rsidRPr="00BA02FE" w:rsidRDefault="00EB2590" w:rsidP="00705771">
            <w:pPr>
              <w:jc w:val="center"/>
              <w:rPr>
                <w:b/>
                <w:noProof/>
                <w:color w:val="FF0000"/>
                <w:lang w:val="fr-CA"/>
              </w:rPr>
            </w:pPr>
            <w:r w:rsidRPr="00BA02FE">
              <w:rPr>
                <w:b/>
                <w:noProof/>
                <w:color w:val="FF0000"/>
                <w:lang w:val="fr-CA"/>
              </w:rPr>
              <w:t xml:space="preserve">Fonds </w:t>
            </w:r>
            <w:r w:rsidR="009B7A8A" w:rsidRPr="00BA02FE">
              <w:rPr>
                <w:b/>
                <w:noProof/>
                <w:color w:val="FF0000"/>
                <w:lang w:val="fr-CA"/>
              </w:rPr>
              <w:t>de placement</w:t>
            </w:r>
            <w:r w:rsidRPr="00BA02FE">
              <w:rPr>
                <w:b/>
                <w:noProof/>
                <w:color w:val="FF0000"/>
                <w:lang w:val="fr-CA"/>
              </w:rPr>
              <w:t xml:space="preserve"> assujettis aux dispositions de règlement de la NC</w:t>
            </w:r>
            <w:r w:rsidR="003D29D6" w:rsidRPr="00BA02FE">
              <w:rPr>
                <w:b/>
                <w:noProof/>
                <w:color w:val="FF0000"/>
                <w:lang w:val="fr-CA"/>
              </w:rPr>
              <w:t> </w:t>
            </w:r>
            <w:r w:rsidRPr="00BA02FE">
              <w:rPr>
                <w:b/>
                <w:noProof/>
                <w:color w:val="FF0000"/>
                <w:lang w:val="fr-CA"/>
              </w:rPr>
              <w:t>81-102</w:t>
            </w:r>
          </w:p>
        </w:tc>
      </w:tr>
      <w:tr w:rsidR="00D008DB" w:rsidRPr="009D62BC" w14:paraId="6616BDB0" w14:textId="77777777" w:rsidTr="00E67A1F">
        <w:tc>
          <w:tcPr>
            <w:tcW w:w="1975" w:type="dxa"/>
          </w:tcPr>
          <w:p w14:paraId="3BCBC6BF" w14:textId="465F220B" w:rsidR="00D008DB" w:rsidRPr="00BA02FE" w:rsidRDefault="00EB2590" w:rsidP="00705771">
            <w:pPr>
              <w:ind w:left="248" w:hanging="248"/>
              <w:rPr>
                <w:noProof/>
                <w:sz w:val="20"/>
                <w:szCs w:val="20"/>
                <w:lang w:val="fr-CA"/>
              </w:rPr>
            </w:pPr>
            <w:r w:rsidRPr="00BA02FE">
              <w:rPr>
                <w:noProof/>
                <w:sz w:val="20"/>
                <w:szCs w:val="20"/>
                <w:lang w:val="fr-CA"/>
              </w:rPr>
              <w:t>Fonds du marché monétaire</w:t>
            </w:r>
          </w:p>
        </w:tc>
        <w:tc>
          <w:tcPr>
            <w:tcW w:w="3870" w:type="dxa"/>
          </w:tcPr>
          <w:p w14:paraId="13945A91" w14:textId="79DE5119" w:rsidR="002714E3" w:rsidRPr="00BA02FE" w:rsidRDefault="002E1C03" w:rsidP="00705771">
            <w:pPr>
              <w:pStyle w:val="Default"/>
              <w:rPr>
                <w:noProof/>
                <w:sz w:val="20"/>
                <w:szCs w:val="20"/>
                <w:lang w:val="fr-CA"/>
              </w:rPr>
            </w:pPr>
            <w:r w:rsidRPr="00BA02FE">
              <w:rPr>
                <w:noProof/>
                <w:sz w:val="20"/>
                <w:szCs w:val="20"/>
                <w:lang w:val="fr-CA"/>
              </w:rPr>
              <w:t xml:space="preserve">Comprennent </w:t>
            </w:r>
            <w:r w:rsidR="00406C58" w:rsidRPr="00BA02FE">
              <w:rPr>
                <w:noProof/>
                <w:sz w:val="20"/>
                <w:szCs w:val="20"/>
                <w:lang w:val="fr-CA"/>
              </w:rPr>
              <w:t>les fonds négociés en bourse (FNB) et les fonds fermés du marché monétaire composés de titres à court terme ou à échéance de moins d</w:t>
            </w:r>
            <w:r w:rsidR="003D29D6" w:rsidRPr="00BA02FE">
              <w:rPr>
                <w:noProof/>
                <w:sz w:val="20"/>
                <w:szCs w:val="20"/>
                <w:lang w:val="fr-CA"/>
              </w:rPr>
              <w:t>’</w:t>
            </w:r>
            <w:r w:rsidR="00406C58" w:rsidRPr="00BA02FE">
              <w:rPr>
                <w:noProof/>
                <w:sz w:val="20"/>
                <w:szCs w:val="20"/>
                <w:lang w:val="fr-CA"/>
              </w:rPr>
              <w:t>un an.</w:t>
            </w:r>
          </w:p>
        </w:tc>
        <w:tc>
          <w:tcPr>
            <w:tcW w:w="2340" w:type="dxa"/>
            <w:vAlign w:val="center"/>
          </w:tcPr>
          <w:p w14:paraId="3D632399" w14:textId="32B2D0A5" w:rsidR="00D008DB" w:rsidRPr="00BA02FE" w:rsidRDefault="00D008DB" w:rsidP="00705771">
            <w:pPr>
              <w:rPr>
                <w:bCs/>
                <w:noProof/>
                <w:sz w:val="20"/>
                <w:szCs w:val="20"/>
                <w:lang w:val="fr-CA"/>
              </w:rPr>
            </w:pPr>
          </w:p>
        </w:tc>
        <w:tc>
          <w:tcPr>
            <w:tcW w:w="3198" w:type="dxa"/>
          </w:tcPr>
          <w:p w14:paraId="48259D77" w14:textId="2359A104" w:rsidR="00D008DB" w:rsidRPr="00BA02FE" w:rsidRDefault="00E435EB" w:rsidP="00705771">
            <w:pPr>
              <w:pStyle w:val="Default"/>
              <w:rPr>
                <w:noProof/>
                <w:sz w:val="20"/>
                <w:szCs w:val="20"/>
                <w:lang w:val="fr-CA"/>
              </w:rPr>
            </w:pPr>
            <w:r w:rsidRPr="00BA02FE">
              <w:rPr>
                <w:bCs/>
                <w:noProof/>
                <w:sz w:val="20"/>
                <w:szCs w:val="20"/>
                <w:lang w:val="fr-CA"/>
              </w:rPr>
              <w:t>Déjà à T+1; cycle de règlement applicable aux ventes et aux rachats.</w:t>
            </w:r>
          </w:p>
        </w:tc>
      </w:tr>
      <w:tr w:rsidR="007E27EB" w:rsidRPr="009D62BC" w14:paraId="2207ED97" w14:textId="77777777" w:rsidTr="00BF5975">
        <w:tc>
          <w:tcPr>
            <w:tcW w:w="1975" w:type="dxa"/>
          </w:tcPr>
          <w:p w14:paraId="1177F284" w14:textId="3197756D" w:rsidR="007E27EB" w:rsidRPr="00BA02FE" w:rsidRDefault="00EB2590" w:rsidP="00FA791E">
            <w:pPr>
              <w:ind w:left="-22"/>
              <w:rPr>
                <w:noProof/>
                <w:sz w:val="20"/>
                <w:szCs w:val="20"/>
                <w:lang w:val="fr-CA"/>
              </w:rPr>
            </w:pPr>
            <w:r w:rsidRPr="00BA02FE">
              <w:rPr>
                <w:noProof/>
                <w:sz w:val="20"/>
                <w:szCs w:val="20"/>
                <w:lang w:val="fr-CA"/>
              </w:rPr>
              <w:t>Fonds communs de placement</w:t>
            </w:r>
          </w:p>
        </w:tc>
        <w:tc>
          <w:tcPr>
            <w:tcW w:w="3870" w:type="dxa"/>
          </w:tcPr>
          <w:p w14:paraId="419F62CE" w14:textId="123A2302" w:rsidR="007E27EB" w:rsidRPr="00BA02FE" w:rsidRDefault="00406C58" w:rsidP="00705771">
            <w:pPr>
              <w:pStyle w:val="Default"/>
              <w:rPr>
                <w:noProof/>
                <w:sz w:val="20"/>
                <w:szCs w:val="20"/>
                <w:lang w:val="fr-CA"/>
              </w:rPr>
            </w:pPr>
            <w:r w:rsidRPr="00BA02FE">
              <w:rPr>
                <w:noProof/>
                <w:sz w:val="20"/>
                <w:szCs w:val="20"/>
                <w:lang w:val="fr-CA"/>
              </w:rPr>
              <w:t>En cas de recours à un prospectus et en tant qu</w:t>
            </w:r>
            <w:r w:rsidR="003D29D6" w:rsidRPr="00BA02FE">
              <w:rPr>
                <w:noProof/>
                <w:sz w:val="20"/>
                <w:szCs w:val="20"/>
                <w:lang w:val="fr-CA"/>
              </w:rPr>
              <w:t>’</w:t>
            </w:r>
            <w:r w:rsidRPr="00BA02FE">
              <w:rPr>
                <w:noProof/>
                <w:sz w:val="20"/>
                <w:szCs w:val="20"/>
                <w:lang w:val="fr-CA"/>
              </w:rPr>
              <w:t>émetteur assujetti.</w:t>
            </w:r>
          </w:p>
        </w:tc>
        <w:tc>
          <w:tcPr>
            <w:tcW w:w="2340" w:type="dxa"/>
            <w:vAlign w:val="center"/>
          </w:tcPr>
          <w:p w14:paraId="1A9E6329" w14:textId="7058D375" w:rsidR="007E27EB" w:rsidRPr="003B2A44" w:rsidRDefault="002B71D0" w:rsidP="00BF5975">
            <w:pPr>
              <w:jc w:val="center"/>
              <w:rPr>
                <w:b/>
                <w:noProof/>
                <w:sz w:val="20"/>
                <w:szCs w:val="20"/>
                <w:lang w:val="fr-CA"/>
              </w:rPr>
            </w:pPr>
            <w:r w:rsidRPr="00376F28">
              <w:rPr>
                <w:b/>
                <w:bCs/>
                <w:noProof/>
                <w:sz w:val="20"/>
                <w:szCs w:val="20"/>
                <w:lang w:val="fr-CA"/>
              </w:rPr>
              <w:t>En cours d</w:t>
            </w:r>
            <w:r w:rsidR="00C32502">
              <w:rPr>
                <w:b/>
                <w:bCs/>
                <w:noProof/>
                <w:sz w:val="20"/>
                <w:szCs w:val="20"/>
                <w:lang w:val="fr-CA"/>
              </w:rPr>
              <w:t>’</w:t>
            </w:r>
            <w:r w:rsidRPr="00376F28">
              <w:rPr>
                <w:b/>
                <w:bCs/>
                <w:noProof/>
                <w:sz w:val="20"/>
                <w:szCs w:val="20"/>
                <w:lang w:val="fr-CA"/>
              </w:rPr>
              <w:t>examen par le secteur des fonds communs de placement</w:t>
            </w:r>
          </w:p>
        </w:tc>
        <w:tc>
          <w:tcPr>
            <w:tcW w:w="3198" w:type="dxa"/>
          </w:tcPr>
          <w:p w14:paraId="73C32FA6" w14:textId="36B02C3B" w:rsidR="007E27EB" w:rsidRPr="00BA02FE" w:rsidRDefault="00E435EB" w:rsidP="00705771">
            <w:pPr>
              <w:pStyle w:val="Default"/>
              <w:rPr>
                <w:noProof/>
                <w:sz w:val="20"/>
                <w:szCs w:val="20"/>
                <w:lang w:val="fr-CA"/>
              </w:rPr>
            </w:pPr>
            <w:r w:rsidRPr="00BA02FE">
              <w:rPr>
                <w:noProof/>
                <w:sz w:val="20"/>
                <w:szCs w:val="20"/>
                <w:lang w:val="fr-CA"/>
              </w:rPr>
              <w:t>Cycle de règlement applicable aux ventes et aux rachats.</w:t>
            </w:r>
          </w:p>
        </w:tc>
      </w:tr>
      <w:tr w:rsidR="0031086E" w:rsidRPr="009D62BC" w14:paraId="139623D1" w14:textId="77777777" w:rsidTr="00BF5975">
        <w:tc>
          <w:tcPr>
            <w:tcW w:w="1975" w:type="dxa"/>
          </w:tcPr>
          <w:p w14:paraId="25327E1E" w14:textId="5AEF74BF" w:rsidR="0031086E" w:rsidRPr="00BA02FE" w:rsidRDefault="0031086E" w:rsidP="0031086E">
            <w:pPr>
              <w:ind w:left="-22"/>
              <w:rPr>
                <w:noProof/>
                <w:sz w:val="20"/>
                <w:szCs w:val="20"/>
                <w:lang w:val="fr-CA"/>
              </w:rPr>
            </w:pPr>
            <w:r w:rsidRPr="00BA02FE">
              <w:rPr>
                <w:noProof/>
                <w:sz w:val="20"/>
                <w:szCs w:val="20"/>
                <w:lang w:val="fr-CA"/>
              </w:rPr>
              <w:t>Fonds de placement non rachetables</w:t>
            </w:r>
          </w:p>
        </w:tc>
        <w:tc>
          <w:tcPr>
            <w:tcW w:w="3870" w:type="dxa"/>
          </w:tcPr>
          <w:p w14:paraId="1D1D0A96" w14:textId="3194567E" w:rsidR="0031086E" w:rsidRPr="00BA02FE" w:rsidRDefault="0031086E" w:rsidP="0031086E">
            <w:pPr>
              <w:pStyle w:val="Default"/>
              <w:rPr>
                <w:noProof/>
                <w:sz w:val="20"/>
                <w:szCs w:val="20"/>
                <w:lang w:val="fr-CA"/>
              </w:rPr>
            </w:pPr>
            <w:r w:rsidRPr="00BA02FE">
              <w:rPr>
                <w:noProof/>
                <w:sz w:val="20"/>
                <w:szCs w:val="20"/>
                <w:lang w:val="fr-CA"/>
              </w:rPr>
              <w:t>Dans le cas d’un émetteur assujetti (par exemple, les fonds fermés)</w:t>
            </w:r>
          </w:p>
        </w:tc>
        <w:tc>
          <w:tcPr>
            <w:tcW w:w="2340" w:type="dxa"/>
            <w:vAlign w:val="center"/>
          </w:tcPr>
          <w:p w14:paraId="7E2BCD1E" w14:textId="33823FE0" w:rsidR="0031086E" w:rsidRPr="003B2A44" w:rsidRDefault="002B71D0" w:rsidP="00BF5975">
            <w:pPr>
              <w:jc w:val="center"/>
              <w:rPr>
                <w:b/>
                <w:noProof/>
                <w:sz w:val="20"/>
                <w:szCs w:val="20"/>
                <w:lang w:val="fr-CA"/>
              </w:rPr>
            </w:pPr>
            <w:r w:rsidRPr="00376F28">
              <w:rPr>
                <w:b/>
                <w:bCs/>
                <w:noProof/>
                <w:sz w:val="20"/>
                <w:szCs w:val="20"/>
                <w:lang w:val="fr-CA"/>
              </w:rPr>
              <w:t>En cours d</w:t>
            </w:r>
            <w:r w:rsidR="00C32502">
              <w:rPr>
                <w:b/>
                <w:bCs/>
                <w:noProof/>
                <w:sz w:val="20"/>
                <w:szCs w:val="20"/>
                <w:lang w:val="fr-CA"/>
              </w:rPr>
              <w:t>’</w:t>
            </w:r>
            <w:r w:rsidRPr="00376F28">
              <w:rPr>
                <w:b/>
                <w:bCs/>
                <w:noProof/>
                <w:sz w:val="20"/>
                <w:szCs w:val="20"/>
                <w:lang w:val="fr-CA"/>
              </w:rPr>
              <w:t>examen par le secteur des fonds communs de placement</w:t>
            </w:r>
          </w:p>
        </w:tc>
        <w:tc>
          <w:tcPr>
            <w:tcW w:w="3198" w:type="dxa"/>
          </w:tcPr>
          <w:p w14:paraId="625936BF" w14:textId="55C2C2F5" w:rsidR="0031086E" w:rsidRPr="00BA02FE" w:rsidRDefault="0031086E" w:rsidP="0031086E">
            <w:pPr>
              <w:pStyle w:val="Default"/>
              <w:rPr>
                <w:noProof/>
                <w:sz w:val="20"/>
                <w:szCs w:val="20"/>
                <w:lang w:val="fr-CA"/>
              </w:rPr>
            </w:pPr>
            <w:r w:rsidRPr="00BA02FE">
              <w:rPr>
                <w:noProof/>
                <w:sz w:val="20"/>
                <w:szCs w:val="20"/>
                <w:lang w:val="fr-CA"/>
              </w:rPr>
              <w:t>Cycle de règlement applicable aux ventes et aux rachats.</w:t>
            </w:r>
          </w:p>
        </w:tc>
      </w:tr>
      <w:tr w:rsidR="0031086E" w:rsidRPr="009D62BC" w14:paraId="42586E48" w14:textId="77777777" w:rsidTr="00BF5975">
        <w:tc>
          <w:tcPr>
            <w:tcW w:w="1975" w:type="dxa"/>
          </w:tcPr>
          <w:p w14:paraId="01E8C805" w14:textId="3FFC26C1" w:rsidR="0031086E" w:rsidRPr="00BA02FE" w:rsidRDefault="0031086E" w:rsidP="0031086E">
            <w:pPr>
              <w:rPr>
                <w:noProof/>
                <w:sz w:val="20"/>
                <w:szCs w:val="20"/>
                <w:lang w:val="fr-CA"/>
              </w:rPr>
            </w:pPr>
            <w:r w:rsidRPr="00BA02FE">
              <w:rPr>
                <w:noProof/>
                <w:sz w:val="20"/>
                <w:szCs w:val="20"/>
                <w:lang w:val="fr-CA"/>
              </w:rPr>
              <w:t xml:space="preserve">Fonds de placement non conventionnels qui autorisent des </w:t>
            </w:r>
            <w:r w:rsidRPr="00BA02FE">
              <w:rPr>
                <w:noProof/>
                <w:sz w:val="20"/>
                <w:szCs w:val="20"/>
                <w:lang w:val="fr-CA"/>
              </w:rPr>
              <w:lastRenderedPageBreak/>
              <w:t>rachats pour un intérêt proportionnel de l’actif net du fonds plus d’une fois par an.</w:t>
            </w:r>
          </w:p>
        </w:tc>
        <w:tc>
          <w:tcPr>
            <w:tcW w:w="3870" w:type="dxa"/>
          </w:tcPr>
          <w:p w14:paraId="5A4E190B" w14:textId="6D55F81A" w:rsidR="0031086E" w:rsidRPr="00BA02FE" w:rsidRDefault="0031086E" w:rsidP="0031086E">
            <w:pPr>
              <w:pStyle w:val="Default"/>
              <w:rPr>
                <w:noProof/>
                <w:sz w:val="20"/>
                <w:szCs w:val="20"/>
                <w:lang w:val="fr-CA"/>
              </w:rPr>
            </w:pPr>
            <w:r w:rsidRPr="00BA02FE">
              <w:rPr>
                <w:noProof/>
                <w:sz w:val="20"/>
                <w:szCs w:val="20"/>
                <w:lang w:val="fr-CA"/>
              </w:rPr>
              <w:lastRenderedPageBreak/>
              <w:t xml:space="preserve">Considérés comme des fonds communs de placement, cotés en bourse ou non. Exigences opérationnelles identiques à celles </w:t>
            </w:r>
            <w:r w:rsidRPr="00BA02FE">
              <w:rPr>
                <w:noProof/>
                <w:sz w:val="20"/>
                <w:szCs w:val="20"/>
                <w:lang w:val="fr-CA"/>
              </w:rPr>
              <w:lastRenderedPageBreak/>
              <w:t>des fonds conventionnels.  Comprennent les fonds négociés en bourse (FNB) qui distribuent leurs titres par l’intermédiaire de courtiers désignés, suivent un indice et distribuent leurs titres en continu. Certaines sociétés à actions fractionnées appartiennent également à cette catégorie.</w:t>
            </w:r>
          </w:p>
        </w:tc>
        <w:tc>
          <w:tcPr>
            <w:tcW w:w="2340" w:type="dxa"/>
            <w:vAlign w:val="center"/>
          </w:tcPr>
          <w:p w14:paraId="0123A1CE" w14:textId="67DBC8F3" w:rsidR="0031086E" w:rsidRPr="003B2A44" w:rsidRDefault="0031086E" w:rsidP="00BF5975">
            <w:pPr>
              <w:jc w:val="center"/>
              <w:rPr>
                <w:b/>
                <w:noProof/>
                <w:sz w:val="20"/>
                <w:szCs w:val="20"/>
                <w:lang w:val="fr-CA"/>
              </w:rPr>
            </w:pPr>
            <w:r w:rsidRPr="003B2A44">
              <w:rPr>
                <w:b/>
                <w:noProof/>
                <w:sz w:val="20"/>
                <w:szCs w:val="20"/>
                <w:lang w:val="fr-CA"/>
              </w:rPr>
              <w:lastRenderedPageBreak/>
              <w:t>OUI pour les FNB</w:t>
            </w:r>
            <w:r w:rsidR="002B71D0">
              <w:rPr>
                <w:b/>
                <w:noProof/>
                <w:sz w:val="20"/>
                <w:szCs w:val="20"/>
                <w:lang w:val="fr-CA"/>
              </w:rPr>
              <w:t>; autres titres e</w:t>
            </w:r>
            <w:r w:rsidR="002B71D0" w:rsidRPr="00376F28">
              <w:rPr>
                <w:b/>
                <w:bCs/>
                <w:noProof/>
                <w:sz w:val="20"/>
                <w:szCs w:val="20"/>
                <w:lang w:val="fr-CA"/>
              </w:rPr>
              <w:t>n cours d</w:t>
            </w:r>
            <w:r w:rsidR="00C32502">
              <w:rPr>
                <w:b/>
                <w:bCs/>
                <w:noProof/>
                <w:sz w:val="20"/>
                <w:szCs w:val="20"/>
                <w:lang w:val="fr-CA"/>
              </w:rPr>
              <w:t>’</w:t>
            </w:r>
            <w:r w:rsidR="002B71D0" w:rsidRPr="00376F28">
              <w:rPr>
                <w:b/>
                <w:bCs/>
                <w:noProof/>
                <w:sz w:val="20"/>
                <w:szCs w:val="20"/>
                <w:lang w:val="fr-CA"/>
              </w:rPr>
              <w:t xml:space="preserve">examen </w:t>
            </w:r>
            <w:r w:rsidR="002B71D0" w:rsidRPr="00376F28">
              <w:rPr>
                <w:b/>
                <w:bCs/>
                <w:noProof/>
                <w:sz w:val="20"/>
                <w:szCs w:val="20"/>
                <w:lang w:val="fr-CA"/>
              </w:rPr>
              <w:lastRenderedPageBreak/>
              <w:t>par le secteur des fonds communs de placement</w:t>
            </w:r>
          </w:p>
        </w:tc>
        <w:tc>
          <w:tcPr>
            <w:tcW w:w="3198" w:type="dxa"/>
            <w:shd w:val="clear" w:color="auto" w:fill="auto"/>
          </w:tcPr>
          <w:p w14:paraId="4F03080B" w14:textId="3506D5E7" w:rsidR="0031086E" w:rsidRPr="00BA02FE" w:rsidRDefault="0031086E" w:rsidP="0031086E">
            <w:pPr>
              <w:pStyle w:val="Default"/>
              <w:rPr>
                <w:noProof/>
                <w:sz w:val="20"/>
                <w:szCs w:val="20"/>
                <w:lang w:val="fr-CA"/>
              </w:rPr>
            </w:pPr>
            <w:r w:rsidRPr="00BA02FE">
              <w:rPr>
                <w:b/>
                <w:bCs/>
                <w:noProof/>
                <w:sz w:val="20"/>
                <w:szCs w:val="20"/>
                <w:lang w:val="fr-CA"/>
              </w:rPr>
              <w:lastRenderedPageBreak/>
              <w:t>Note :</w:t>
            </w:r>
            <w:r w:rsidRPr="00BA02FE">
              <w:rPr>
                <w:noProof/>
                <w:sz w:val="20"/>
                <w:szCs w:val="20"/>
                <w:lang w:val="fr-CA"/>
              </w:rPr>
              <w:t xml:space="preserve">  </w:t>
            </w:r>
            <w:r w:rsidRPr="003B2A44">
              <w:rPr>
                <w:noProof/>
                <w:lang w:val="fr-CA"/>
              </w:rPr>
              <w:t xml:space="preserve"> </w:t>
            </w:r>
            <w:r w:rsidRPr="00BA02FE">
              <w:rPr>
                <w:noProof/>
                <w:sz w:val="20"/>
                <w:szCs w:val="20"/>
                <w:lang w:val="fr-CA"/>
              </w:rPr>
              <w:t>Le processus de vente/rachat des parts du FNB est actuellement en révision.</w:t>
            </w:r>
          </w:p>
        </w:tc>
      </w:tr>
      <w:tr w:rsidR="0031086E" w:rsidRPr="009D62BC" w14:paraId="67646F88" w14:textId="77777777" w:rsidTr="00E67A1F">
        <w:tc>
          <w:tcPr>
            <w:tcW w:w="1975" w:type="dxa"/>
          </w:tcPr>
          <w:p w14:paraId="558B8EC1" w14:textId="02EB1C86" w:rsidR="0031086E" w:rsidRPr="00BA02FE" w:rsidRDefault="0031086E" w:rsidP="0031086E">
            <w:pPr>
              <w:ind w:left="-22"/>
              <w:rPr>
                <w:noProof/>
                <w:sz w:val="20"/>
                <w:szCs w:val="20"/>
                <w:lang w:val="fr-CA"/>
              </w:rPr>
            </w:pPr>
            <w:r w:rsidRPr="00BA02FE">
              <w:rPr>
                <w:noProof/>
                <w:sz w:val="20"/>
                <w:szCs w:val="20"/>
                <w:lang w:val="fr-CA"/>
              </w:rPr>
              <w:t xml:space="preserve">Fonds de placement non conventionnels qui n’autorisent </w:t>
            </w:r>
            <w:r w:rsidRPr="00BA02FE">
              <w:rPr>
                <w:b/>
                <w:bCs/>
                <w:noProof/>
                <w:sz w:val="20"/>
                <w:szCs w:val="20"/>
                <w:lang w:val="fr-CA"/>
              </w:rPr>
              <w:t>pas</w:t>
            </w:r>
            <w:r w:rsidRPr="00BA02FE">
              <w:rPr>
                <w:noProof/>
                <w:sz w:val="20"/>
                <w:szCs w:val="20"/>
                <w:lang w:val="fr-CA"/>
              </w:rPr>
              <w:t xml:space="preserve"> les rachats pour un intérêt proportionnel de l’actif net du fonds plus d’une fois par an.</w:t>
            </w:r>
          </w:p>
        </w:tc>
        <w:tc>
          <w:tcPr>
            <w:tcW w:w="3870" w:type="dxa"/>
          </w:tcPr>
          <w:p w14:paraId="65F070B5" w14:textId="6DAF9022" w:rsidR="0031086E" w:rsidRPr="00BA02FE" w:rsidRDefault="0031086E" w:rsidP="0031086E">
            <w:pPr>
              <w:pStyle w:val="Default"/>
              <w:rPr>
                <w:noProof/>
                <w:sz w:val="20"/>
                <w:szCs w:val="20"/>
                <w:lang w:val="fr-CA"/>
              </w:rPr>
            </w:pPr>
            <w:r w:rsidRPr="00BA02FE">
              <w:rPr>
                <w:noProof/>
                <w:sz w:val="20"/>
                <w:szCs w:val="20"/>
                <w:lang w:val="fr-CA"/>
              </w:rPr>
              <w:t>Assujettis aux exigences opérationnelles principales de la NC 81-102. Autorisés à adopter certaines stratégies de placement et à investir dans certaines catégories d’actifs, au-delà des limites permises aux fonds communs de placement traditionnels.  Comprennent les fonds à capital fixe (habituellement cotés en bourse) et les sociétés en commandite accréditives.</w:t>
            </w:r>
          </w:p>
        </w:tc>
        <w:tc>
          <w:tcPr>
            <w:tcW w:w="2340" w:type="dxa"/>
            <w:vAlign w:val="center"/>
          </w:tcPr>
          <w:p w14:paraId="5420AD7D" w14:textId="36E8B8D0" w:rsidR="0031086E" w:rsidRPr="00BA02FE" w:rsidRDefault="0031086E" w:rsidP="0031086E">
            <w:pPr>
              <w:jc w:val="center"/>
              <w:rPr>
                <w:b/>
                <w:noProof/>
                <w:sz w:val="20"/>
                <w:szCs w:val="20"/>
                <w:lang w:val="fr-CA"/>
              </w:rPr>
            </w:pPr>
            <w:r w:rsidRPr="00BA02FE">
              <w:rPr>
                <w:b/>
                <w:noProof/>
                <w:sz w:val="20"/>
                <w:szCs w:val="20"/>
                <w:lang w:val="fr-CA"/>
              </w:rPr>
              <w:t xml:space="preserve">OUI au moins pour les FNB et les fonds fermés; </w:t>
            </w:r>
            <w:r w:rsidR="002B71D0">
              <w:rPr>
                <w:b/>
                <w:noProof/>
                <w:sz w:val="20"/>
                <w:szCs w:val="20"/>
                <w:lang w:val="fr-CA"/>
              </w:rPr>
              <w:t xml:space="preserve"> autres titres e</w:t>
            </w:r>
            <w:r w:rsidR="002B71D0" w:rsidRPr="00376F28">
              <w:rPr>
                <w:b/>
                <w:bCs/>
                <w:noProof/>
                <w:sz w:val="20"/>
                <w:szCs w:val="20"/>
                <w:lang w:val="fr-CA"/>
              </w:rPr>
              <w:t>n cours d</w:t>
            </w:r>
            <w:r w:rsidR="00C32502">
              <w:rPr>
                <w:b/>
                <w:bCs/>
                <w:noProof/>
                <w:sz w:val="20"/>
                <w:szCs w:val="20"/>
                <w:lang w:val="fr-CA"/>
              </w:rPr>
              <w:t>’</w:t>
            </w:r>
            <w:r w:rsidR="002B71D0" w:rsidRPr="00376F28">
              <w:rPr>
                <w:b/>
                <w:bCs/>
                <w:noProof/>
                <w:sz w:val="20"/>
                <w:szCs w:val="20"/>
                <w:lang w:val="fr-CA"/>
              </w:rPr>
              <w:t>examen par le secteur des fonds communs de placement</w:t>
            </w:r>
          </w:p>
        </w:tc>
        <w:tc>
          <w:tcPr>
            <w:tcW w:w="3198" w:type="dxa"/>
          </w:tcPr>
          <w:p w14:paraId="04AC772B" w14:textId="049DC823" w:rsidR="0031086E" w:rsidRPr="00BA02FE" w:rsidRDefault="0031086E" w:rsidP="0031086E">
            <w:pPr>
              <w:pStyle w:val="Default"/>
              <w:rPr>
                <w:noProof/>
                <w:sz w:val="20"/>
                <w:szCs w:val="20"/>
                <w:lang w:val="fr-CA"/>
              </w:rPr>
            </w:pPr>
          </w:p>
        </w:tc>
      </w:tr>
      <w:tr w:rsidR="0031086E" w:rsidRPr="009D62BC" w14:paraId="0AE6AAFC" w14:textId="77777777" w:rsidTr="00E33D98">
        <w:tc>
          <w:tcPr>
            <w:tcW w:w="11383" w:type="dxa"/>
            <w:gridSpan w:val="4"/>
          </w:tcPr>
          <w:p w14:paraId="1317961E" w14:textId="66A2DC03" w:rsidR="0031086E" w:rsidRPr="00BA02FE" w:rsidRDefault="0031086E" w:rsidP="0031086E">
            <w:pPr>
              <w:jc w:val="center"/>
              <w:rPr>
                <w:b/>
                <w:noProof/>
                <w:color w:val="FF0000"/>
                <w:lang w:val="fr-CA"/>
              </w:rPr>
            </w:pPr>
            <w:r w:rsidRPr="00BA02FE">
              <w:rPr>
                <w:b/>
                <w:noProof/>
                <w:color w:val="FF0000"/>
                <w:lang w:val="fr-CA"/>
              </w:rPr>
              <w:t>Fonds de placement NON assujettis aux dispositions de règlement de la NC 81-102</w:t>
            </w:r>
          </w:p>
        </w:tc>
      </w:tr>
      <w:tr w:rsidR="0031086E" w:rsidRPr="009D62BC" w14:paraId="05300F5C" w14:textId="77777777" w:rsidTr="00E67A1F">
        <w:tc>
          <w:tcPr>
            <w:tcW w:w="1975" w:type="dxa"/>
          </w:tcPr>
          <w:p w14:paraId="4E3A2DDC" w14:textId="58AFADF9" w:rsidR="0031086E" w:rsidRPr="00BA02FE" w:rsidRDefault="0031086E" w:rsidP="0031086E">
            <w:pPr>
              <w:ind w:left="66"/>
              <w:rPr>
                <w:noProof/>
                <w:sz w:val="20"/>
                <w:szCs w:val="20"/>
                <w:lang w:val="fr-CA"/>
              </w:rPr>
            </w:pPr>
            <w:r w:rsidRPr="00BA02FE">
              <w:rPr>
                <w:noProof/>
                <w:sz w:val="20"/>
                <w:szCs w:val="20"/>
                <w:lang w:val="fr-CA"/>
              </w:rPr>
              <w:t xml:space="preserve">Fonds communs de placement qui ne sont </w:t>
            </w:r>
            <w:r w:rsidRPr="00BA02FE">
              <w:rPr>
                <w:noProof/>
                <w:sz w:val="20"/>
                <w:szCs w:val="20"/>
                <w:u w:val="single"/>
                <w:lang w:val="fr-CA"/>
              </w:rPr>
              <w:t>pas</w:t>
            </w:r>
            <w:r w:rsidRPr="00BA02FE">
              <w:rPr>
                <w:noProof/>
                <w:sz w:val="20"/>
                <w:szCs w:val="20"/>
                <w:lang w:val="fr-CA"/>
              </w:rPr>
              <w:t xml:space="preserve"> considérés comme des « émetteurs assujettis ».</w:t>
            </w:r>
          </w:p>
        </w:tc>
        <w:tc>
          <w:tcPr>
            <w:tcW w:w="3870" w:type="dxa"/>
          </w:tcPr>
          <w:p w14:paraId="28FE201F" w14:textId="46441013" w:rsidR="0031086E" w:rsidRPr="00BA02FE" w:rsidRDefault="0031086E" w:rsidP="0031086E">
            <w:pPr>
              <w:rPr>
                <w:noProof/>
                <w:sz w:val="20"/>
                <w:szCs w:val="20"/>
                <w:lang w:val="fr-CA"/>
              </w:rPr>
            </w:pPr>
            <w:r w:rsidRPr="00BA02FE">
              <w:rPr>
                <w:noProof/>
                <w:sz w:val="20"/>
                <w:szCs w:val="20"/>
                <w:lang w:val="fr-CA"/>
              </w:rPr>
              <w:t>Comprennent les fonds communs de placement qui offrent des titres au public exclusivement en vertu d’exemptions de collecte de capitaux accordées par la législation sur les valeurs mobilières, par exemple, les fonds communs de placement (4 144 fonds communs de placement sont compensés par Fundserv (1 514 sont à T+2); voir également les regroupements de marchandises ci-dessous).</w:t>
            </w:r>
          </w:p>
        </w:tc>
        <w:tc>
          <w:tcPr>
            <w:tcW w:w="2340" w:type="dxa"/>
            <w:vAlign w:val="center"/>
          </w:tcPr>
          <w:p w14:paraId="38231EE0" w14:textId="3413A6A1" w:rsidR="0031086E" w:rsidRPr="00BA02FE" w:rsidRDefault="0031086E" w:rsidP="0031086E">
            <w:pPr>
              <w:rPr>
                <w:b/>
                <w:bCs/>
                <w:noProof/>
                <w:sz w:val="20"/>
                <w:szCs w:val="20"/>
                <w:lang w:val="fr-CA"/>
              </w:rPr>
            </w:pPr>
          </w:p>
        </w:tc>
        <w:tc>
          <w:tcPr>
            <w:tcW w:w="3198" w:type="dxa"/>
          </w:tcPr>
          <w:p w14:paraId="62E1A2D1" w14:textId="1F93F8ED" w:rsidR="0031086E" w:rsidRPr="00BA02FE" w:rsidRDefault="0031086E" w:rsidP="0031086E">
            <w:pPr>
              <w:rPr>
                <w:noProof/>
                <w:sz w:val="20"/>
                <w:szCs w:val="20"/>
                <w:lang w:val="fr-CA"/>
              </w:rPr>
            </w:pPr>
            <w:r w:rsidRPr="00BA02FE">
              <w:rPr>
                <w:noProof/>
                <w:sz w:val="20"/>
                <w:szCs w:val="20"/>
                <w:lang w:val="fr-CA"/>
              </w:rPr>
              <w:t xml:space="preserve">Règlement régi par un contrat et période de règlement variant actuellement de T+1 à T+10.  </w:t>
            </w:r>
          </w:p>
        </w:tc>
      </w:tr>
      <w:tr w:rsidR="0031086E" w:rsidRPr="009D62BC" w14:paraId="1EA9B7AF" w14:textId="77777777" w:rsidTr="00FA791E">
        <w:tc>
          <w:tcPr>
            <w:tcW w:w="1975" w:type="dxa"/>
          </w:tcPr>
          <w:p w14:paraId="6B66EC4E" w14:textId="3B9020E6" w:rsidR="0031086E" w:rsidRPr="00BA02FE" w:rsidRDefault="0031086E" w:rsidP="0031086E">
            <w:pPr>
              <w:ind w:left="66"/>
              <w:rPr>
                <w:noProof/>
                <w:sz w:val="20"/>
                <w:szCs w:val="20"/>
                <w:lang w:val="fr-CA"/>
              </w:rPr>
            </w:pPr>
            <w:r w:rsidRPr="00BA02FE">
              <w:rPr>
                <w:noProof/>
                <w:sz w:val="20"/>
                <w:szCs w:val="20"/>
                <w:lang w:val="fr-CA"/>
              </w:rPr>
              <w:t xml:space="preserve">Fonds de placement qui ne sont </w:t>
            </w:r>
            <w:r w:rsidRPr="00BA02FE">
              <w:rPr>
                <w:noProof/>
                <w:sz w:val="20"/>
                <w:szCs w:val="20"/>
                <w:u w:val="single"/>
                <w:lang w:val="fr-CA"/>
              </w:rPr>
              <w:t>pas</w:t>
            </w:r>
            <w:r w:rsidRPr="00BA02FE">
              <w:rPr>
                <w:noProof/>
                <w:sz w:val="20"/>
                <w:szCs w:val="20"/>
                <w:lang w:val="fr-CA"/>
              </w:rPr>
              <w:t xml:space="preserve"> des émetteurs assujettis</w:t>
            </w:r>
          </w:p>
        </w:tc>
        <w:tc>
          <w:tcPr>
            <w:tcW w:w="3870" w:type="dxa"/>
          </w:tcPr>
          <w:p w14:paraId="66845861" w14:textId="3DC2AFB4" w:rsidR="0031086E" w:rsidRPr="00BA02FE" w:rsidRDefault="0031086E" w:rsidP="0031086E">
            <w:pPr>
              <w:rPr>
                <w:b/>
                <w:noProof/>
                <w:sz w:val="20"/>
                <w:szCs w:val="20"/>
                <w:lang w:val="fr-CA"/>
              </w:rPr>
            </w:pPr>
            <w:r w:rsidRPr="00BA02FE">
              <w:rPr>
                <w:noProof/>
                <w:sz w:val="20"/>
                <w:szCs w:val="20"/>
                <w:lang w:val="fr-CA"/>
              </w:rPr>
              <w:t>Par exemple, fonds de placement non rachetables, par exemple, fonds spéculatifs, fonds alternatifs, produits de marché exonérés comme les MIC, FPI, fonds hypothécaires, etc.</w:t>
            </w:r>
          </w:p>
        </w:tc>
        <w:tc>
          <w:tcPr>
            <w:tcW w:w="2340" w:type="dxa"/>
            <w:vAlign w:val="center"/>
          </w:tcPr>
          <w:p w14:paraId="7E3F7EBD" w14:textId="0DF1CF10" w:rsidR="0031086E" w:rsidRPr="00BA02FE" w:rsidRDefault="0031086E" w:rsidP="00FA791E">
            <w:pPr>
              <w:jc w:val="center"/>
              <w:rPr>
                <w:noProof/>
                <w:sz w:val="20"/>
                <w:szCs w:val="20"/>
                <w:lang w:val="fr-CA"/>
              </w:rPr>
            </w:pPr>
            <w:r w:rsidRPr="00BA02FE">
              <w:rPr>
                <w:b/>
                <w:bCs/>
                <w:noProof/>
                <w:sz w:val="20"/>
                <w:szCs w:val="20"/>
                <w:lang w:val="fr-CA"/>
              </w:rPr>
              <w:t>Sujet à variation</w:t>
            </w:r>
          </w:p>
        </w:tc>
        <w:tc>
          <w:tcPr>
            <w:tcW w:w="3198" w:type="dxa"/>
          </w:tcPr>
          <w:p w14:paraId="64EE2260" w14:textId="56EE4ECF" w:rsidR="0031086E" w:rsidRPr="00BA02FE" w:rsidRDefault="0031086E" w:rsidP="0031086E">
            <w:pPr>
              <w:pStyle w:val="Default"/>
              <w:rPr>
                <w:noProof/>
                <w:sz w:val="20"/>
                <w:szCs w:val="20"/>
                <w:lang w:val="fr-CA"/>
              </w:rPr>
            </w:pPr>
            <w:r w:rsidRPr="00BA02FE">
              <w:rPr>
                <w:noProof/>
                <w:sz w:val="20"/>
                <w:szCs w:val="20"/>
                <w:lang w:val="fr-CA"/>
              </w:rPr>
              <w:t>Au Canada, l’émetteur de ces fonds publie les dispositions afférentes au règlement dans le prospectus ou la notice d’offre. Les transactions qui suivent actuellement un cycle de règlement plus long (comme T+10, par exemple) ne sont pas censées changer leur cycle.</w:t>
            </w:r>
          </w:p>
        </w:tc>
      </w:tr>
      <w:tr w:rsidR="0031086E" w:rsidRPr="00BA02FE" w14:paraId="10764927" w14:textId="77777777" w:rsidTr="00FA791E">
        <w:tc>
          <w:tcPr>
            <w:tcW w:w="1975" w:type="dxa"/>
          </w:tcPr>
          <w:p w14:paraId="6FF8833F" w14:textId="392DC4B3" w:rsidR="0031086E" w:rsidRPr="00BA02FE" w:rsidRDefault="0031086E" w:rsidP="0031086E">
            <w:pPr>
              <w:ind w:left="66"/>
              <w:rPr>
                <w:noProof/>
                <w:sz w:val="20"/>
                <w:szCs w:val="20"/>
                <w:lang w:val="fr-CA"/>
              </w:rPr>
            </w:pPr>
            <w:r w:rsidRPr="00BA02FE">
              <w:rPr>
                <w:noProof/>
                <w:sz w:val="20"/>
                <w:szCs w:val="20"/>
                <w:lang w:val="fr-CA"/>
              </w:rPr>
              <w:t>Bourses d’études ou programmes éducatifs</w:t>
            </w:r>
          </w:p>
        </w:tc>
        <w:tc>
          <w:tcPr>
            <w:tcW w:w="3870" w:type="dxa"/>
          </w:tcPr>
          <w:p w14:paraId="2BCFFD73" w14:textId="77777777" w:rsidR="0031086E" w:rsidRPr="00BA02FE" w:rsidRDefault="0031086E" w:rsidP="0031086E">
            <w:pPr>
              <w:ind w:firstLine="720"/>
              <w:rPr>
                <w:noProof/>
                <w:sz w:val="20"/>
                <w:szCs w:val="20"/>
                <w:lang w:val="fr-CA"/>
              </w:rPr>
            </w:pPr>
          </w:p>
        </w:tc>
        <w:tc>
          <w:tcPr>
            <w:tcW w:w="2340" w:type="dxa"/>
            <w:vAlign w:val="center"/>
          </w:tcPr>
          <w:p w14:paraId="653AFE77" w14:textId="4F90F47A" w:rsidR="0031086E" w:rsidRPr="00BA02FE" w:rsidRDefault="006443DD" w:rsidP="00FA791E">
            <w:pPr>
              <w:jc w:val="center"/>
              <w:rPr>
                <w:bCs/>
                <w:noProof/>
                <w:sz w:val="20"/>
                <w:szCs w:val="20"/>
                <w:lang w:val="fr-CA"/>
              </w:rPr>
            </w:pPr>
            <w:r w:rsidRPr="00BA02FE">
              <w:rPr>
                <w:bCs/>
                <w:noProof/>
                <w:sz w:val="20"/>
                <w:szCs w:val="20"/>
                <w:lang w:val="fr-CA"/>
              </w:rPr>
              <w:t>Exclus</w:t>
            </w:r>
          </w:p>
        </w:tc>
        <w:tc>
          <w:tcPr>
            <w:tcW w:w="3198" w:type="dxa"/>
          </w:tcPr>
          <w:p w14:paraId="23410555" w14:textId="77777777" w:rsidR="0031086E" w:rsidRPr="00BA02FE" w:rsidRDefault="0031086E" w:rsidP="0031086E">
            <w:pPr>
              <w:rPr>
                <w:noProof/>
                <w:sz w:val="20"/>
                <w:szCs w:val="20"/>
                <w:lang w:val="fr-CA"/>
              </w:rPr>
            </w:pPr>
          </w:p>
        </w:tc>
      </w:tr>
      <w:tr w:rsidR="0031086E" w:rsidRPr="009D62BC" w14:paraId="633A7885" w14:textId="77777777" w:rsidTr="00FA791E">
        <w:tc>
          <w:tcPr>
            <w:tcW w:w="1975" w:type="dxa"/>
          </w:tcPr>
          <w:p w14:paraId="24E10448" w14:textId="7E7A9AE3" w:rsidR="0031086E" w:rsidRPr="00BA02FE" w:rsidRDefault="0031086E" w:rsidP="0031086E">
            <w:pPr>
              <w:ind w:left="66"/>
              <w:rPr>
                <w:noProof/>
                <w:sz w:val="20"/>
                <w:szCs w:val="20"/>
                <w:lang w:val="fr-CA"/>
              </w:rPr>
            </w:pPr>
            <w:r w:rsidRPr="00BA02FE">
              <w:rPr>
                <w:noProof/>
                <w:sz w:val="20"/>
                <w:szCs w:val="20"/>
                <w:lang w:val="fr-CA"/>
              </w:rPr>
              <w:t xml:space="preserve">Fonds de placement constitués en vertu d’une loi visant à établir le </w:t>
            </w:r>
            <w:r w:rsidRPr="00BA02FE">
              <w:rPr>
                <w:i/>
                <w:noProof/>
                <w:sz w:val="20"/>
                <w:szCs w:val="20"/>
                <w:lang w:val="fr-CA"/>
              </w:rPr>
              <w:t>Fonds de solidarité des travailleurs du Québec</w:t>
            </w:r>
            <w:r w:rsidRPr="00BA02FE">
              <w:rPr>
                <w:noProof/>
                <w:sz w:val="20"/>
                <w:szCs w:val="20"/>
                <w:lang w:val="fr-CA"/>
              </w:rPr>
              <w:t xml:space="preserve"> (F.T.Q.) (chapitre F-3.2.1)</w:t>
            </w:r>
          </w:p>
        </w:tc>
        <w:tc>
          <w:tcPr>
            <w:tcW w:w="3870" w:type="dxa"/>
          </w:tcPr>
          <w:p w14:paraId="186B93A8" w14:textId="0E3A3C41" w:rsidR="0031086E" w:rsidRDefault="0031086E" w:rsidP="0031086E">
            <w:pPr>
              <w:rPr>
                <w:noProof/>
                <w:sz w:val="20"/>
                <w:szCs w:val="20"/>
                <w:lang w:val="fr-CA"/>
              </w:rPr>
            </w:pPr>
            <w:r w:rsidRPr="00BA02FE">
              <w:rPr>
                <w:noProof/>
                <w:sz w:val="20"/>
                <w:szCs w:val="20"/>
                <w:lang w:val="fr-CA"/>
              </w:rPr>
              <w:t xml:space="preserve">Voir </w:t>
            </w:r>
            <w:hyperlink r:id="rId10" w:history="1">
              <w:r w:rsidR="000236CD" w:rsidRPr="000236CD">
                <w:rPr>
                  <w:rStyle w:val="Hyperlink"/>
                  <w:sz w:val="20"/>
                  <w:szCs w:val="20"/>
                  <w:lang w:val="fr-CA"/>
                </w:rPr>
                <w:t>http://www.fondaction.com/</w:t>
              </w:r>
            </w:hyperlink>
            <w:r w:rsidRPr="00BA02FE">
              <w:rPr>
                <w:noProof/>
                <w:sz w:val="20"/>
                <w:szCs w:val="20"/>
                <w:lang w:val="fr-CA"/>
              </w:rPr>
              <w:t xml:space="preserve"> (Français) ou </w:t>
            </w:r>
            <w:hyperlink r:id="rId11" w:history="1">
              <w:r w:rsidR="000236CD" w:rsidRPr="000236CD">
                <w:rPr>
                  <w:rStyle w:val="Hyperlink"/>
                  <w:sz w:val="20"/>
                  <w:szCs w:val="20"/>
                  <w:lang w:val="fr-CA"/>
                </w:rPr>
                <w:t>http://www.fondaction.com/english.php</w:t>
              </w:r>
            </w:hyperlink>
            <w:r w:rsidRPr="00BA02FE">
              <w:rPr>
                <w:noProof/>
                <w:sz w:val="20"/>
                <w:szCs w:val="20"/>
                <w:lang w:val="fr-CA"/>
              </w:rPr>
              <w:t xml:space="preserve"> (Anglais)</w:t>
            </w:r>
          </w:p>
          <w:p w14:paraId="676E10F3" w14:textId="1EFFB304" w:rsidR="000236CD" w:rsidRPr="000236CD" w:rsidRDefault="000236CD" w:rsidP="0031086E">
            <w:pPr>
              <w:rPr>
                <w:b/>
                <w:noProof/>
                <w:sz w:val="20"/>
                <w:szCs w:val="20"/>
                <w:lang w:val="fr-CA"/>
              </w:rPr>
            </w:pPr>
          </w:p>
        </w:tc>
        <w:tc>
          <w:tcPr>
            <w:tcW w:w="2340" w:type="dxa"/>
            <w:vAlign w:val="center"/>
          </w:tcPr>
          <w:p w14:paraId="048D2F78" w14:textId="6047CB22" w:rsidR="0031086E" w:rsidRPr="00BA02FE" w:rsidRDefault="0031086E" w:rsidP="00FA791E">
            <w:pPr>
              <w:jc w:val="center"/>
              <w:rPr>
                <w:bCs/>
                <w:noProof/>
                <w:sz w:val="20"/>
                <w:szCs w:val="20"/>
                <w:lang w:val="fr-CA"/>
              </w:rPr>
            </w:pPr>
            <w:r w:rsidRPr="00BA02FE">
              <w:rPr>
                <w:bCs/>
                <w:noProof/>
                <w:sz w:val="20"/>
                <w:szCs w:val="20"/>
                <w:lang w:val="fr-CA"/>
              </w:rPr>
              <w:t>Exclus. Le règlement des souscriptions est régi par contrat. Les rachats sont régis par la législation.</w:t>
            </w:r>
          </w:p>
        </w:tc>
        <w:tc>
          <w:tcPr>
            <w:tcW w:w="3198" w:type="dxa"/>
          </w:tcPr>
          <w:p w14:paraId="3762C55E" w14:textId="77777777" w:rsidR="0031086E" w:rsidRPr="00BA02FE" w:rsidRDefault="0031086E" w:rsidP="0031086E">
            <w:pPr>
              <w:rPr>
                <w:noProof/>
                <w:sz w:val="20"/>
                <w:szCs w:val="20"/>
                <w:lang w:val="fr-CA"/>
              </w:rPr>
            </w:pPr>
          </w:p>
        </w:tc>
      </w:tr>
      <w:tr w:rsidR="0031086E" w:rsidRPr="009D62BC" w14:paraId="251482AC" w14:textId="77777777" w:rsidTr="00FA791E">
        <w:tc>
          <w:tcPr>
            <w:tcW w:w="1975" w:type="dxa"/>
          </w:tcPr>
          <w:p w14:paraId="552E6A32" w14:textId="2CF31971" w:rsidR="0031086E" w:rsidRPr="00BA02FE" w:rsidRDefault="0031086E" w:rsidP="0031086E">
            <w:pPr>
              <w:ind w:left="66"/>
              <w:rPr>
                <w:noProof/>
                <w:sz w:val="20"/>
                <w:szCs w:val="20"/>
                <w:lang w:val="fr-CA"/>
              </w:rPr>
            </w:pPr>
            <w:r w:rsidRPr="00BA02FE">
              <w:rPr>
                <w:noProof/>
                <w:sz w:val="20"/>
                <w:szCs w:val="20"/>
                <w:lang w:val="fr-CA"/>
              </w:rPr>
              <w:t xml:space="preserve">Fonds de placement constitués en vertu d’une loi visant à établir </w:t>
            </w:r>
            <w:r w:rsidRPr="00BA02FE">
              <w:rPr>
                <w:i/>
                <w:noProof/>
                <w:sz w:val="20"/>
                <w:szCs w:val="20"/>
                <w:lang w:val="fr-CA"/>
              </w:rPr>
              <w:t xml:space="preserve">Fondaction, le Fonds de développement de la Confédération des syndicats nationaux </w:t>
            </w:r>
            <w:r w:rsidRPr="00BA02FE">
              <w:rPr>
                <w:i/>
                <w:noProof/>
                <w:sz w:val="20"/>
                <w:szCs w:val="20"/>
                <w:lang w:val="fr-CA"/>
              </w:rPr>
              <w:lastRenderedPageBreak/>
              <w:t>pour la coopération et l’emploi</w:t>
            </w:r>
            <w:r w:rsidRPr="00BA02FE">
              <w:rPr>
                <w:noProof/>
                <w:sz w:val="20"/>
                <w:szCs w:val="20"/>
                <w:lang w:val="fr-CA"/>
              </w:rPr>
              <w:t xml:space="preserve"> (chapitre F-3.1.2)</w:t>
            </w:r>
          </w:p>
        </w:tc>
        <w:tc>
          <w:tcPr>
            <w:tcW w:w="3870" w:type="dxa"/>
          </w:tcPr>
          <w:p w14:paraId="70ACDEDF" w14:textId="275FE6F2" w:rsidR="0031086E" w:rsidRPr="000236CD" w:rsidRDefault="0031086E" w:rsidP="0031086E">
            <w:pPr>
              <w:rPr>
                <w:noProof/>
                <w:sz w:val="20"/>
                <w:szCs w:val="20"/>
                <w:lang w:val="fr-CA"/>
              </w:rPr>
            </w:pPr>
            <w:r w:rsidRPr="00BA02FE">
              <w:rPr>
                <w:noProof/>
                <w:sz w:val="20"/>
                <w:szCs w:val="20"/>
                <w:lang w:val="fr-CA"/>
              </w:rPr>
              <w:lastRenderedPageBreak/>
              <w:t xml:space="preserve">Voir </w:t>
            </w:r>
            <w:hyperlink r:id="rId12" w:history="1">
              <w:r w:rsidR="000236CD" w:rsidRPr="000236CD">
                <w:rPr>
                  <w:rStyle w:val="Hyperlink"/>
                  <w:sz w:val="20"/>
                  <w:szCs w:val="20"/>
                  <w:lang w:val="fr-CA"/>
                </w:rPr>
                <w:t>http://capitalregional.com/</w:t>
              </w:r>
            </w:hyperlink>
            <w:r w:rsidRPr="00BA02FE">
              <w:rPr>
                <w:noProof/>
                <w:sz w:val="20"/>
                <w:szCs w:val="20"/>
                <w:lang w:val="fr-CA"/>
              </w:rPr>
              <w:t xml:space="preserve"> (Français) ou </w:t>
            </w:r>
            <w:hyperlink r:id="rId13" w:history="1">
              <w:r w:rsidR="000236CD" w:rsidRPr="000236CD">
                <w:rPr>
                  <w:rStyle w:val="Hyperlink"/>
                  <w:sz w:val="20"/>
                  <w:szCs w:val="20"/>
                  <w:lang w:val="fr-CA"/>
                </w:rPr>
                <w:t>http://capitalregional.com/en/</w:t>
              </w:r>
            </w:hyperlink>
            <w:r w:rsidRPr="00BA02FE">
              <w:rPr>
                <w:noProof/>
                <w:sz w:val="20"/>
                <w:szCs w:val="20"/>
                <w:lang w:val="fr-CA"/>
              </w:rPr>
              <w:t xml:space="preserve"> (Anglais)</w:t>
            </w:r>
            <w:r w:rsidR="000236CD" w:rsidRPr="000236CD">
              <w:rPr>
                <w:sz w:val="20"/>
                <w:szCs w:val="20"/>
                <w:lang w:val="fr-CA"/>
              </w:rPr>
              <w:t xml:space="preserve"> </w:t>
            </w:r>
          </w:p>
        </w:tc>
        <w:tc>
          <w:tcPr>
            <w:tcW w:w="2340" w:type="dxa"/>
            <w:vAlign w:val="center"/>
          </w:tcPr>
          <w:p w14:paraId="32EF01A1" w14:textId="2D5164BC" w:rsidR="0031086E" w:rsidRPr="00BA02FE" w:rsidRDefault="006443DD" w:rsidP="00FA791E">
            <w:pPr>
              <w:jc w:val="center"/>
              <w:rPr>
                <w:bCs/>
                <w:noProof/>
                <w:sz w:val="20"/>
                <w:szCs w:val="20"/>
                <w:lang w:val="fr-CA"/>
              </w:rPr>
            </w:pPr>
            <w:r w:rsidRPr="00BA02FE">
              <w:rPr>
                <w:bCs/>
                <w:noProof/>
                <w:sz w:val="20"/>
                <w:szCs w:val="20"/>
                <w:lang w:val="fr-CA"/>
              </w:rPr>
              <w:t>Exclus</w:t>
            </w:r>
          </w:p>
        </w:tc>
        <w:tc>
          <w:tcPr>
            <w:tcW w:w="3198" w:type="dxa"/>
            <w:vAlign w:val="center"/>
          </w:tcPr>
          <w:p w14:paraId="161E57A1" w14:textId="4FB04344" w:rsidR="0031086E" w:rsidRPr="00BA02FE" w:rsidRDefault="0031086E" w:rsidP="0031086E">
            <w:pPr>
              <w:rPr>
                <w:noProof/>
                <w:sz w:val="20"/>
                <w:szCs w:val="20"/>
                <w:lang w:val="fr-CA"/>
              </w:rPr>
            </w:pPr>
            <w:r w:rsidRPr="00BA02FE">
              <w:rPr>
                <w:bCs/>
                <w:noProof/>
                <w:sz w:val="20"/>
                <w:szCs w:val="20"/>
                <w:lang w:val="fr-CA"/>
              </w:rPr>
              <w:t>Le règlement des souscriptions est régi par le contrat. Les rachats sont régis par la législation.</w:t>
            </w:r>
          </w:p>
        </w:tc>
      </w:tr>
      <w:tr w:rsidR="006443DD" w:rsidRPr="009D62BC" w14:paraId="36B7B003" w14:textId="77777777" w:rsidTr="00FA791E">
        <w:tc>
          <w:tcPr>
            <w:tcW w:w="1975" w:type="dxa"/>
          </w:tcPr>
          <w:p w14:paraId="1EE5C964" w14:textId="46F3DFD3" w:rsidR="006443DD" w:rsidRPr="00BA02FE" w:rsidRDefault="006443DD" w:rsidP="006443DD">
            <w:pPr>
              <w:ind w:left="66"/>
              <w:rPr>
                <w:noProof/>
                <w:sz w:val="20"/>
                <w:szCs w:val="20"/>
                <w:lang w:val="fr-CA"/>
              </w:rPr>
            </w:pPr>
            <w:r w:rsidRPr="00BA02FE">
              <w:rPr>
                <w:noProof/>
                <w:sz w:val="20"/>
                <w:szCs w:val="20"/>
                <w:lang w:val="fr-CA"/>
              </w:rPr>
              <w:t xml:space="preserve">Fonds de placement constitués en vertu d’une loi visant à établir </w:t>
            </w:r>
            <w:r w:rsidRPr="00BA02FE">
              <w:rPr>
                <w:i/>
                <w:noProof/>
                <w:sz w:val="20"/>
                <w:szCs w:val="20"/>
                <w:lang w:val="fr-CA"/>
              </w:rPr>
              <w:t>Capital régional et coopératif Desjardins</w:t>
            </w:r>
            <w:r w:rsidRPr="00BA02FE">
              <w:rPr>
                <w:noProof/>
                <w:sz w:val="20"/>
                <w:szCs w:val="20"/>
                <w:lang w:val="fr-CA"/>
              </w:rPr>
              <w:t xml:space="preserve"> (chapitre C-6.1)</w:t>
            </w:r>
          </w:p>
        </w:tc>
        <w:tc>
          <w:tcPr>
            <w:tcW w:w="3870" w:type="dxa"/>
          </w:tcPr>
          <w:p w14:paraId="706BD10D" w14:textId="409A444D" w:rsidR="006443DD" w:rsidRPr="00BA02FE" w:rsidRDefault="006443DD" w:rsidP="006443DD">
            <w:pPr>
              <w:rPr>
                <w:noProof/>
                <w:sz w:val="20"/>
                <w:szCs w:val="20"/>
                <w:lang w:val="fr-CA"/>
              </w:rPr>
            </w:pPr>
            <w:r w:rsidRPr="00BA02FE">
              <w:rPr>
                <w:noProof/>
                <w:sz w:val="20"/>
                <w:szCs w:val="20"/>
                <w:lang w:val="fr-CA"/>
              </w:rPr>
              <w:t xml:space="preserve">Voir </w:t>
            </w:r>
            <w:hyperlink r:id="rId14" w:history="1">
              <w:r w:rsidRPr="00BA02FE">
                <w:rPr>
                  <w:rStyle w:val="Hyperlink"/>
                  <w:noProof/>
                  <w:sz w:val="20"/>
                  <w:szCs w:val="20"/>
                  <w:lang w:val="fr-CA"/>
                </w:rPr>
                <w:t>http://capitalregional.com/</w:t>
              </w:r>
            </w:hyperlink>
            <w:r w:rsidRPr="00BA02FE">
              <w:rPr>
                <w:noProof/>
                <w:sz w:val="20"/>
                <w:szCs w:val="20"/>
                <w:lang w:val="fr-CA"/>
              </w:rPr>
              <w:t xml:space="preserve"> (Français) ou </w:t>
            </w:r>
            <w:hyperlink r:id="rId15" w:history="1">
              <w:r w:rsidRPr="00BA02FE">
                <w:rPr>
                  <w:rStyle w:val="Hyperlink"/>
                  <w:noProof/>
                  <w:sz w:val="20"/>
                  <w:szCs w:val="20"/>
                  <w:lang w:val="fr-CA"/>
                </w:rPr>
                <w:t>http://capitalregional.com/en/</w:t>
              </w:r>
            </w:hyperlink>
            <w:r w:rsidRPr="00BA02FE">
              <w:rPr>
                <w:noProof/>
                <w:sz w:val="20"/>
                <w:szCs w:val="20"/>
                <w:lang w:val="fr-CA"/>
              </w:rPr>
              <w:t xml:space="preserve"> (Anglais)</w:t>
            </w:r>
          </w:p>
        </w:tc>
        <w:tc>
          <w:tcPr>
            <w:tcW w:w="2340" w:type="dxa"/>
            <w:vAlign w:val="center"/>
          </w:tcPr>
          <w:p w14:paraId="733FC3C0" w14:textId="2E1E00D4" w:rsidR="006443DD" w:rsidRPr="00BA02FE" w:rsidRDefault="006443DD" w:rsidP="00FA791E">
            <w:pPr>
              <w:jc w:val="center"/>
              <w:rPr>
                <w:bCs/>
                <w:noProof/>
                <w:sz w:val="20"/>
                <w:szCs w:val="20"/>
                <w:lang w:val="fr-CA"/>
              </w:rPr>
            </w:pPr>
            <w:r w:rsidRPr="00BA02FE">
              <w:rPr>
                <w:bCs/>
                <w:noProof/>
                <w:sz w:val="20"/>
                <w:szCs w:val="20"/>
                <w:lang w:val="fr-CA"/>
              </w:rPr>
              <w:t>Exclus</w:t>
            </w:r>
          </w:p>
        </w:tc>
        <w:tc>
          <w:tcPr>
            <w:tcW w:w="3198" w:type="dxa"/>
            <w:vAlign w:val="center"/>
          </w:tcPr>
          <w:p w14:paraId="70458978" w14:textId="5D36FE59" w:rsidR="006443DD" w:rsidRPr="00BA02FE" w:rsidRDefault="006443DD" w:rsidP="006443DD">
            <w:pPr>
              <w:rPr>
                <w:noProof/>
                <w:sz w:val="20"/>
                <w:szCs w:val="20"/>
                <w:lang w:val="fr-CA"/>
              </w:rPr>
            </w:pPr>
            <w:r w:rsidRPr="00BA02FE">
              <w:rPr>
                <w:bCs/>
                <w:noProof/>
                <w:sz w:val="20"/>
                <w:szCs w:val="20"/>
                <w:lang w:val="fr-CA"/>
              </w:rPr>
              <w:t>Le règlement des souscriptions est régi par le contrat. Les rachats sont régis par la législation.</w:t>
            </w:r>
          </w:p>
        </w:tc>
      </w:tr>
      <w:tr w:rsidR="006443DD" w:rsidRPr="009D62BC" w14:paraId="7ADD8E30" w14:textId="77777777" w:rsidTr="00FA791E">
        <w:tc>
          <w:tcPr>
            <w:tcW w:w="1975" w:type="dxa"/>
          </w:tcPr>
          <w:p w14:paraId="3FE840D3" w14:textId="5D553C78" w:rsidR="006443DD" w:rsidRPr="00BA02FE" w:rsidRDefault="006443DD" w:rsidP="006443DD">
            <w:pPr>
              <w:ind w:left="66"/>
              <w:rPr>
                <w:noProof/>
                <w:sz w:val="20"/>
                <w:szCs w:val="20"/>
                <w:lang w:val="fr-CA"/>
              </w:rPr>
            </w:pPr>
            <w:r w:rsidRPr="00BA02FE">
              <w:rPr>
                <w:noProof/>
                <w:sz w:val="20"/>
                <w:szCs w:val="20"/>
                <w:lang w:val="fr-CA"/>
              </w:rPr>
              <w:t>Fonds de placement des travailleurs (FPT)</w:t>
            </w:r>
          </w:p>
        </w:tc>
        <w:tc>
          <w:tcPr>
            <w:tcW w:w="3870" w:type="dxa"/>
          </w:tcPr>
          <w:p w14:paraId="4C0BC168" w14:textId="779B08F6" w:rsidR="006443DD" w:rsidRPr="00BA02FE" w:rsidRDefault="006443DD" w:rsidP="006443DD">
            <w:pPr>
              <w:rPr>
                <w:noProof/>
                <w:sz w:val="20"/>
                <w:szCs w:val="20"/>
                <w:lang w:val="fr-CA"/>
              </w:rPr>
            </w:pPr>
            <w:r w:rsidRPr="00BA02FE">
              <w:rPr>
                <w:bCs/>
                <w:noProof/>
                <w:sz w:val="20"/>
                <w:szCs w:val="20"/>
                <w:lang w:val="fr-CA"/>
              </w:rPr>
              <w:t xml:space="preserve">Règlement 1015 général émis en vertu de la </w:t>
            </w:r>
            <w:r w:rsidRPr="00BA02FE">
              <w:rPr>
                <w:bCs/>
                <w:i/>
                <w:iCs/>
                <w:noProof/>
                <w:sz w:val="20"/>
                <w:szCs w:val="20"/>
                <w:lang w:val="fr-CA"/>
              </w:rPr>
              <w:t>Loi sur les valeurs mobilières</w:t>
            </w:r>
            <w:r w:rsidRPr="00BA02FE">
              <w:rPr>
                <w:bCs/>
                <w:noProof/>
                <w:sz w:val="20"/>
                <w:szCs w:val="20"/>
                <w:lang w:val="fr-CA"/>
              </w:rPr>
              <w:t xml:space="preserve"> (Ontario), s. 240 (2) alinéa 8, une règle, une politique ou une pratique de la Commission ou du directeur ne peut s’appliquer aux ventes ou rachats de titres de fonds communs de placement relatifs aux FPT.)</w:t>
            </w:r>
          </w:p>
        </w:tc>
        <w:tc>
          <w:tcPr>
            <w:tcW w:w="2340" w:type="dxa"/>
            <w:vAlign w:val="center"/>
          </w:tcPr>
          <w:p w14:paraId="7A079C0D" w14:textId="30C399EB" w:rsidR="006443DD" w:rsidRPr="00BA02FE" w:rsidRDefault="006443DD" w:rsidP="00FA791E">
            <w:pPr>
              <w:jc w:val="center"/>
              <w:rPr>
                <w:b/>
                <w:noProof/>
                <w:sz w:val="20"/>
                <w:szCs w:val="20"/>
                <w:lang w:val="fr-CA"/>
              </w:rPr>
            </w:pPr>
            <w:r w:rsidRPr="00BA02FE">
              <w:rPr>
                <w:b/>
                <w:bCs/>
                <w:noProof/>
                <w:sz w:val="20"/>
                <w:szCs w:val="20"/>
                <w:lang w:val="fr-CA"/>
              </w:rPr>
              <w:t>Sujet à variation</w:t>
            </w:r>
          </w:p>
        </w:tc>
        <w:tc>
          <w:tcPr>
            <w:tcW w:w="3198" w:type="dxa"/>
            <w:vAlign w:val="center"/>
          </w:tcPr>
          <w:p w14:paraId="10FAA6CC" w14:textId="09DD2362" w:rsidR="006443DD" w:rsidRPr="00BA02FE" w:rsidRDefault="006443DD" w:rsidP="006443DD">
            <w:pPr>
              <w:rPr>
                <w:noProof/>
                <w:sz w:val="20"/>
                <w:szCs w:val="20"/>
                <w:lang w:val="fr-CA"/>
              </w:rPr>
            </w:pPr>
            <w:r w:rsidRPr="00BA02FE">
              <w:rPr>
                <w:noProof/>
                <w:sz w:val="20"/>
                <w:szCs w:val="20"/>
                <w:lang w:val="fr-CA"/>
              </w:rPr>
              <w:t>101 FPT sont compensés par l’intermédiaire de Fundserv et 55 sont au T+2</w:t>
            </w:r>
          </w:p>
        </w:tc>
      </w:tr>
      <w:tr w:rsidR="006443DD" w:rsidRPr="00BA02FE" w14:paraId="64AF4DC1" w14:textId="77777777" w:rsidTr="00FA791E">
        <w:tc>
          <w:tcPr>
            <w:tcW w:w="1975" w:type="dxa"/>
          </w:tcPr>
          <w:p w14:paraId="20A4BC7A" w14:textId="2DDF3671" w:rsidR="006443DD" w:rsidRPr="00BA02FE" w:rsidRDefault="006443DD" w:rsidP="006443DD">
            <w:pPr>
              <w:rPr>
                <w:noProof/>
                <w:sz w:val="20"/>
                <w:szCs w:val="20"/>
                <w:lang w:val="fr-CA"/>
              </w:rPr>
            </w:pPr>
            <w:r w:rsidRPr="00BA02FE">
              <w:rPr>
                <w:noProof/>
                <w:sz w:val="20"/>
                <w:szCs w:val="20"/>
                <w:lang w:val="fr-CA"/>
              </w:rPr>
              <w:t>Fonds communs de placement privés</w:t>
            </w:r>
          </w:p>
        </w:tc>
        <w:tc>
          <w:tcPr>
            <w:tcW w:w="3870" w:type="dxa"/>
          </w:tcPr>
          <w:p w14:paraId="6ADF63AB" w14:textId="32232E02" w:rsidR="006443DD" w:rsidRPr="00BA02FE" w:rsidRDefault="006443DD" w:rsidP="006443DD">
            <w:pPr>
              <w:rPr>
                <w:noProof/>
                <w:sz w:val="20"/>
                <w:szCs w:val="20"/>
                <w:lang w:val="fr-CA"/>
              </w:rPr>
            </w:pPr>
            <w:r w:rsidRPr="00BA02FE">
              <w:rPr>
                <w:noProof/>
                <w:sz w:val="20"/>
                <w:szCs w:val="20"/>
                <w:lang w:val="fr-CA"/>
              </w:rPr>
              <w:t>Par exemple, clubs de placement</w:t>
            </w:r>
          </w:p>
        </w:tc>
        <w:tc>
          <w:tcPr>
            <w:tcW w:w="2340" w:type="dxa"/>
            <w:vAlign w:val="center"/>
          </w:tcPr>
          <w:p w14:paraId="16FF7EAD" w14:textId="62A9C0C0" w:rsidR="006443DD" w:rsidRPr="00BA02FE" w:rsidRDefault="006443DD" w:rsidP="00FA791E">
            <w:pPr>
              <w:jc w:val="center"/>
              <w:rPr>
                <w:bCs/>
                <w:noProof/>
                <w:sz w:val="20"/>
                <w:szCs w:val="20"/>
                <w:lang w:val="fr-CA"/>
              </w:rPr>
            </w:pPr>
            <w:r w:rsidRPr="00BA02FE">
              <w:rPr>
                <w:bCs/>
                <w:noProof/>
                <w:sz w:val="20"/>
                <w:szCs w:val="20"/>
                <w:lang w:val="fr-CA"/>
              </w:rPr>
              <w:t>Exclus</w:t>
            </w:r>
          </w:p>
        </w:tc>
        <w:tc>
          <w:tcPr>
            <w:tcW w:w="3198" w:type="dxa"/>
          </w:tcPr>
          <w:p w14:paraId="62AB6785" w14:textId="57245A96" w:rsidR="006443DD" w:rsidRPr="00BA02FE" w:rsidRDefault="006443DD" w:rsidP="006443DD">
            <w:pPr>
              <w:rPr>
                <w:noProof/>
                <w:sz w:val="20"/>
                <w:szCs w:val="20"/>
                <w:lang w:val="fr-CA"/>
              </w:rPr>
            </w:pPr>
          </w:p>
        </w:tc>
      </w:tr>
      <w:tr w:rsidR="006443DD" w:rsidRPr="00BA02FE" w14:paraId="101E78D3" w14:textId="77777777" w:rsidTr="00FA791E">
        <w:trPr>
          <w:trHeight w:val="439"/>
        </w:trPr>
        <w:tc>
          <w:tcPr>
            <w:tcW w:w="1975" w:type="dxa"/>
          </w:tcPr>
          <w:p w14:paraId="3446C94B" w14:textId="2C59B4AB" w:rsidR="006443DD" w:rsidRPr="00BA02FE" w:rsidRDefault="006443DD" w:rsidP="006443DD">
            <w:pPr>
              <w:rPr>
                <w:noProof/>
                <w:sz w:val="20"/>
                <w:szCs w:val="20"/>
                <w:lang w:val="fr-CA"/>
              </w:rPr>
            </w:pPr>
            <w:r w:rsidRPr="00BA02FE">
              <w:rPr>
                <w:noProof/>
                <w:sz w:val="20"/>
                <w:szCs w:val="20"/>
                <w:lang w:val="fr-CA"/>
              </w:rPr>
              <w:t>Marchés de marchandises</w:t>
            </w:r>
          </w:p>
        </w:tc>
        <w:tc>
          <w:tcPr>
            <w:tcW w:w="3870" w:type="dxa"/>
          </w:tcPr>
          <w:p w14:paraId="1AA51678" w14:textId="0CBE437B" w:rsidR="006443DD" w:rsidRPr="00BA02FE" w:rsidRDefault="006443DD" w:rsidP="006443DD">
            <w:pPr>
              <w:pStyle w:val="Default"/>
              <w:rPr>
                <w:noProof/>
                <w:sz w:val="20"/>
                <w:szCs w:val="20"/>
                <w:lang w:val="fr-CA"/>
              </w:rPr>
            </w:pPr>
            <w:r w:rsidRPr="00BA02FE">
              <w:rPr>
                <w:noProof/>
                <w:sz w:val="20"/>
                <w:szCs w:val="20"/>
                <w:lang w:val="fr-CA"/>
              </w:rPr>
              <w:t>Fonds communs de placement autorisés à investir dans des produits dérivés ou des marchandises (dans les cas où la NC 81-102 l’interdit).</w:t>
            </w:r>
          </w:p>
        </w:tc>
        <w:tc>
          <w:tcPr>
            <w:tcW w:w="2340" w:type="dxa"/>
            <w:vAlign w:val="center"/>
          </w:tcPr>
          <w:p w14:paraId="4A5BB35D" w14:textId="59A89E98" w:rsidR="006443DD" w:rsidRPr="00BA02FE" w:rsidRDefault="006443DD" w:rsidP="00FA791E">
            <w:pPr>
              <w:jc w:val="center"/>
              <w:rPr>
                <w:bCs/>
                <w:noProof/>
                <w:sz w:val="20"/>
                <w:szCs w:val="20"/>
                <w:lang w:val="fr-CA"/>
              </w:rPr>
            </w:pPr>
            <w:r w:rsidRPr="00BA02FE">
              <w:rPr>
                <w:bCs/>
                <w:noProof/>
                <w:sz w:val="20"/>
                <w:szCs w:val="20"/>
                <w:lang w:val="fr-CA"/>
              </w:rPr>
              <w:t>Exclus</w:t>
            </w:r>
          </w:p>
        </w:tc>
        <w:tc>
          <w:tcPr>
            <w:tcW w:w="3198" w:type="dxa"/>
          </w:tcPr>
          <w:p w14:paraId="3AFCD259" w14:textId="096A9587" w:rsidR="006443DD" w:rsidRPr="00BA02FE" w:rsidRDefault="006443DD" w:rsidP="006443DD">
            <w:pPr>
              <w:pStyle w:val="Default"/>
              <w:rPr>
                <w:noProof/>
                <w:sz w:val="20"/>
                <w:szCs w:val="20"/>
                <w:lang w:val="fr-CA"/>
              </w:rPr>
            </w:pPr>
            <w:r w:rsidRPr="00BA02FE">
              <w:rPr>
                <w:noProof/>
                <w:sz w:val="20"/>
                <w:szCs w:val="20"/>
                <w:lang w:val="fr-CA"/>
              </w:rPr>
              <w:t>Régi par la NC 81-104.</w:t>
            </w:r>
          </w:p>
        </w:tc>
      </w:tr>
    </w:tbl>
    <w:p w14:paraId="7C0DFDFB" w14:textId="0063DC4D" w:rsidR="00896877" w:rsidRPr="00BA02FE" w:rsidRDefault="00E33D98" w:rsidP="00705771">
      <w:pPr>
        <w:rPr>
          <w:noProof/>
          <w:sz w:val="2"/>
          <w:szCs w:val="2"/>
          <w:lang w:val="fr-CA"/>
        </w:rPr>
      </w:pPr>
      <w:r w:rsidRPr="00BA02FE">
        <w:rPr>
          <w:noProof/>
          <w:sz w:val="2"/>
          <w:szCs w:val="2"/>
          <w:lang w:val="fr-CA"/>
        </w:rPr>
        <w:t>/</w:t>
      </w:r>
      <w:r w:rsidR="00D008DB" w:rsidRPr="00BA02FE">
        <w:rPr>
          <w:noProof/>
          <w:sz w:val="2"/>
          <w:szCs w:val="2"/>
          <w:lang w:val="fr-CA"/>
        </w:rPr>
        <w:br w:type="textWrapping" w:clear="all"/>
      </w:r>
    </w:p>
    <w:sectPr w:rsidR="00896877" w:rsidRPr="00BA02FE" w:rsidSect="00E33D98">
      <w:pgSz w:w="12240" w:h="15840"/>
      <w:pgMar w:top="1328" w:right="360" w:bottom="720" w:left="360" w:header="706" w:footer="380" w:gutter="0"/>
      <w:pgNumType w:fmt="numberInDash"/>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72C2" w14:textId="77777777" w:rsidR="00AF4D89" w:rsidRDefault="00AF4D89" w:rsidP="00C86D2C">
      <w:pPr>
        <w:spacing w:line="240" w:lineRule="auto"/>
      </w:pPr>
      <w:r>
        <w:separator/>
      </w:r>
    </w:p>
  </w:endnote>
  <w:endnote w:type="continuationSeparator" w:id="0">
    <w:p w14:paraId="27AFAF89" w14:textId="77777777" w:rsidR="00AF4D89" w:rsidRDefault="00AF4D89" w:rsidP="00C86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06896"/>
      <w:docPartObj>
        <w:docPartGallery w:val="Page Numbers (Bottom of Page)"/>
        <w:docPartUnique/>
      </w:docPartObj>
    </w:sdtPr>
    <w:sdtEndPr>
      <w:rPr>
        <w:noProof/>
      </w:rPr>
    </w:sdtEndPr>
    <w:sdtContent>
      <w:p w14:paraId="5043E03E" w14:textId="77777777" w:rsidR="00866781" w:rsidRDefault="00866781" w:rsidP="009E1D54">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23A2" w14:textId="77777777" w:rsidR="00AF4D89" w:rsidRDefault="00AF4D89" w:rsidP="00C86D2C">
      <w:pPr>
        <w:spacing w:line="240" w:lineRule="auto"/>
      </w:pPr>
      <w:r>
        <w:separator/>
      </w:r>
    </w:p>
  </w:footnote>
  <w:footnote w:type="continuationSeparator" w:id="0">
    <w:p w14:paraId="020EF7A2" w14:textId="77777777" w:rsidR="00AF4D89" w:rsidRDefault="00AF4D89" w:rsidP="00C86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648" w14:textId="47F237F4" w:rsidR="00866781" w:rsidRPr="00845B3D" w:rsidRDefault="00866781" w:rsidP="00D353D8">
    <w:pPr>
      <w:pStyle w:val="Header"/>
      <w:jc w:val="right"/>
      <w:rPr>
        <w:b/>
        <w:bCs/>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D1124"/>
    <w:multiLevelType w:val="hybridMultilevel"/>
    <w:tmpl w:val="234860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9F1A80"/>
    <w:multiLevelType w:val="hybridMultilevel"/>
    <w:tmpl w:val="4B02F3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06610"/>
    <w:multiLevelType w:val="multilevel"/>
    <w:tmpl w:val="DD2458A8"/>
    <w:styleLink w:val="Styl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2C32CED"/>
    <w:multiLevelType w:val="hybridMultilevel"/>
    <w:tmpl w:val="AE404650"/>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734DC"/>
    <w:multiLevelType w:val="hybridMultilevel"/>
    <w:tmpl w:val="55367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9105C0"/>
    <w:multiLevelType w:val="hybridMultilevel"/>
    <w:tmpl w:val="AE544C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502A1"/>
    <w:multiLevelType w:val="hybridMultilevel"/>
    <w:tmpl w:val="E9620B14"/>
    <w:lvl w:ilvl="0" w:tplc="AD286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E27EB"/>
    <w:multiLevelType w:val="hybridMultilevel"/>
    <w:tmpl w:val="3FDE9802"/>
    <w:lvl w:ilvl="0" w:tplc="55028CC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C03A8"/>
    <w:multiLevelType w:val="hybridMultilevel"/>
    <w:tmpl w:val="C6DC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32733"/>
    <w:multiLevelType w:val="hybridMultilevel"/>
    <w:tmpl w:val="0140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C74D7"/>
    <w:multiLevelType w:val="hybridMultilevel"/>
    <w:tmpl w:val="D7A67ACE"/>
    <w:lvl w:ilvl="0" w:tplc="155244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2394C"/>
    <w:multiLevelType w:val="hybridMultilevel"/>
    <w:tmpl w:val="B526F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296465"/>
    <w:multiLevelType w:val="hybridMultilevel"/>
    <w:tmpl w:val="97B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54BB4"/>
    <w:multiLevelType w:val="hybridMultilevel"/>
    <w:tmpl w:val="E8165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2D3A36"/>
    <w:multiLevelType w:val="hybridMultilevel"/>
    <w:tmpl w:val="FA7E4A8A"/>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41AE3"/>
    <w:multiLevelType w:val="hybridMultilevel"/>
    <w:tmpl w:val="4EDA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95051"/>
    <w:multiLevelType w:val="multilevel"/>
    <w:tmpl w:val="3510085E"/>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260" w:hanging="180"/>
      </w:pPr>
    </w:lvl>
    <w:lvl w:ilvl="3">
      <w:start w:val="1"/>
      <w:numFmt w:val="decimal"/>
      <w:lvlText w:val="%4."/>
      <w:lvlJc w:val="left"/>
      <w:pPr>
        <w:ind w:left="14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E25418"/>
    <w:multiLevelType w:val="hybridMultilevel"/>
    <w:tmpl w:val="C3E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708A4"/>
    <w:multiLevelType w:val="hybridMultilevel"/>
    <w:tmpl w:val="02D2B480"/>
    <w:lvl w:ilvl="0" w:tplc="15524428">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E949E7"/>
    <w:multiLevelType w:val="hybridMultilevel"/>
    <w:tmpl w:val="956853B8"/>
    <w:lvl w:ilvl="0" w:tplc="9D3A2E3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34A96"/>
    <w:multiLevelType w:val="hybridMultilevel"/>
    <w:tmpl w:val="3522E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B457DF"/>
    <w:multiLevelType w:val="hybridMultilevel"/>
    <w:tmpl w:val="00DC621A"/>
    <w:lvl w:ilvl="0" w:tplc="155244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76173"/>
    <w:multiLevelType w:val="hybridMultilevel"/>
    <w:tmpl w:val="9D06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1B64F2"/>
    <w:multiLevelType w:val="hybridMultilevel"/>
    <w:tmpl w:val="CF9E9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05557EA"/>
    <w:multiLevelType w:val="hybridMultilevel"/>
    <w:tmpl w:val="DEBA2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A40F89"/>
    <w:multiLevelType w:val="hybridMultilevel"/>
    <w:tmpl w:val="4656E240"/>
    <w:lvl w:ilvl="0" w:tplc="9DBCA130">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B3F5B"/>
    <w:multiLevelType w:val="hybridMultilevel"/>
    <w:tmpl w:val="2BE8B6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00B1C"/>
    <w:multiLevelType w:val="hybridMultilevel"/>
    <w:tmpl w:val="D6BE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243"/>
    <w:multiLevelType w:val="hybridMultilevel"/>
    <w:tmpl w:val="C300885E"/>
    <w:lvl w:ilvl="0" w:tplc="C07CEE48">
      <w:start w:val="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6C366E4"/>
    <w:multiLevelType w:val="hybridMultilevel"/>
    <w:tmpl w:val="16F07C6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9BD0B56"/>
    <w:multiLevelType w:val="hybridMultilevel"/>
    <w:tmpl w:val="14C42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677BAC"/>
    <w:multiLevelType w:val="hybridMultilevel"/>
    <w:tmpl w:val="8B92F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1227296">
    <w:abstractNumId w:val="16"/>
  </w:num>
  <w:num w:numId="2" w16cid:durableId="1541281549">
    <w:abstractNumId w:val="2"/>
  </w:num>
  <w:num w:numId="3" w16cid:durableId="839389888">
    <w:abstractNumId w:val="23"/>
  </w:num>
  <w:num w:numId="4" w16cid:durableId="1836601863">
    <w:abstractNumId w:val="20"/>
  </w:num>
  <w:num w:numId="5" w16cid:durableId="550534732">
    <w:abstractNumId w:val="8"/>
  </w:num>
  <w:num w:numId="6" w16cid:durableId="1391999845">
    <w:abstractNumId w:val="15"/>
  </w:num>
  <w:num w:numId="7" w16cid:durableId="1031034668">
    <w:abstractNumId w:val="6"/>
  </w:num>
  <w:num w:numId="8" w16cid:durableId="328869153">
    <w:abstractNumId w:val="4"/>
  </w:num>
  <w:num w:numId="9" w16cid:durableId="2061905620">
    <w:abstractNumId w:val="22"/>
  </w:num>
  <w:num w:numId="10" w16cid:durableId="1463116589">
    <w:abstractNumId w:val="9"/>
  </w:num>
  <w:num w:numId="11" w16cid:durableId="844052219">
    <w:abstractNumId w:val="10"/>
  </w:num>
  <w:num w:numId="12" w16cid:durableId="88163459">
    <w:abstractNumId w:val="11"/>
  </w:num>
  <w:num w:numId="13" w16cid:durableId="1777020853">
    <w:abstractNumId w:val="31"/>
  </w:num>
  <w:num w:numId="14" w16cid:durableId="899944128">
    <w:abstractNumId w:val="12"/>
  </w:num>
  <w:num w:numId="15" w16cid:durableId="145904233">
    <w:abstractNumId w:val="26"/>
  </w:num>
  <w:num w:numId="16" w16cid:durableId="968051703">
    <w:abstractNumId w:val="3"/>
  </w:num>
  <w:num w:numId="17" w16cid:durableId="1499229603">
    <w:abstractNumId w:val="14"/>
  </w:num>
  <w:num w:numId="18" w16cid:durableId="728456519">
    <w:abstractNumId w:val="24"/>
  </w:num>
  <w:num w:numId="19" w16cid:durableId="906644684">
    <w:abstractNumId w:val="5"/>
  </w:num>
  <w:num w:numId="20" w16cid:durableId="950166934">
    <w:abstractNumId w:val="1"/>
  </w:num>
  <w:num w:numId="21" w16cid:durableId="1431197516">
    <w:abstractNumId w:val="0"/>
  </w:num>
  <w:num w:numId="22" w16cid:durableId="1784879484">
    <w:abstractNumId w:val="17"/>
  </w:num>
  <w:num w:numId="23" w16cid:durableId="1742169787">
    <w:abstractNumId w:val="27"/>
  </w:num>
  <w:num w:numId="24" w16cid:durableId="1600870800">
    <w:abstractNumId w:val="30"/>
  </w:num>
  <w:num w:numId="25" w16cid:durableId="1119639994">
    <w:abstractNumId w:val="13"/>
  </w:num>
  <w:num w:numId="26" w16cid:durableId="1113400422">
    <w:abstractNumId w:val="7"/>
  </w:num>
  <w:num w:numId="27" w16cid:durableId="1290207445">
    <w:abstractNumId w:val="29"/>
  </w:num>
  <w:num w:numId="28" w16cid:durableId="731276219">
    <w:abstractNumId w:val="18"/>
  </w:num>
  <w:num w:numId="29" w16cid:durableId="2055078186">
    <w:abstractNumId w:val="21"/>
  </w:num>
  <w:num w:numId="30" w16cid:durableId="257762401">
    <w:abstractNumId w:val="25"/>
  </w:num>
  <w:num w:numId="31" w16cid:durableId="1505508544">
    <w:abstractNumId w:val="28"/>
  </w:num>
  <w:num w:numId="32" w16cid:durableId="9889404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7A"/>
    <w:rsid w:val="00000E44"/>
    <w:rsid w:val="000111DE"/>
    <w:rsid w:val="00015273"/>
    <w:rsid w:val="000236CD"/>
    <w:rsid w:val="000252C7"/>
    <w:rsid w:val="00025F70"/>
    <w:rsid w:val="00027DD2"/>
    <w:rsid w:val="00031D68"/>
    <w:rsid w:val="00035FF6"/>
    <w:rsid w:val="00037109"/>
    <w:rsid w:val="00052826"/>
    <w:rsid w:val="000535D0"/>
    <w:rsid w:val="00056B1C"/>
    <w:rsid w:val="00077C94"/>
    <w:rsid w:val="00087CCB"/>
    <w:rsid w:val="000A0713"/>
    <w:rsid w:val="000A567B"/>
    <w:rsid w:val="000A6EB8"/>
    <w:rsid w:val="000B01DA"/>
    <w:rsid w:val="000B08F1"/>
    <w:rsid w:val="000B2ADA"/>
    <w:rsid w:val="000B589E"/>
    <w:rsid w:val="000C136A"/>
    <w:rsid w:val="000C4334"/>
    <w:rsid w:val="000C78BD"/>
    <w:rsid w:val="000D1F6D"/>
    <w:rsid w:val="000D611B"/>
    <w:rsid w:val="000D7194"/>
    <w:rsid w:val="000D7BD9"/>
    <w:rsid w:val="000E2C26"/>
    <w:rsid w:val="000F310A"/>
    <w:rsid w:val="00110556"/>
    <w:rsid w:val="00110E0A"/>
    <w:rsid w:val="00114C8F"/>
    <w:rsid w:val="00117D91"/>
    <w:rsid w:val="00134985"/>
    <w:rsid w:val="00145221"/>
    <w:rsid w:val="00151A40"/>
    <w:rsid w:val="00152DD3"/>
    <w:rsid w:val="001609BE"/>
    <w:rsid w:val="00167586"/>
    <w:rsid w:val="001701BF"/>
    <w:rsid w:val="001715B4"/>
    <w:rsid w:val="00172695"/>
    <w:rsid w:val="0017441B"/>
    <w:rsid w:val="00175208"/>
    <w:rsid w:val="00175993"/>
    <w:rsid w:val="00177981"/>
    <w:rsid w:val="00184443"/>
    <w:rsid w:val="00193D6B"/>
    <w:rsid w:val="00193D83"/>
    <w:rsid w:val="001A1A1B"/>
    <w:rsid w:val="001A3822"/>
    <w:rsid w:val="001A5827"/>
    <w:rsid w:val="001A67CD"/>
    <w:rsid w:val="001A6A82"/>
    <w:rsid w:val="001B4770"/>
    <w:rsid w:val="001B5B41"/>
    <w:rsid w:val="001B774A"/>
    <w:rsid w:val="001C1C50"/>
    <w:rsid w:val="001C1DAA"/>
    <w:rsid w:val="001C5048"/>
    <w:rsid w:val="001C5401"/>
    <w:rsid w:val="001C603F"/>
    <w:rsid w:val="001D660F"/>
    <w:rsid w:val="001D6D05"/>
    <w:rsid w:val="001D6D49"/>
    <w:rsid w:val="001D7E35"/>
    <w:rsid w:val="001E15E5"/>
    <w:rsid w:val="001F0D1D"/>
    <w:rsid w:val="001F4AFA"/>
    <w:rsid w:val="001F7383"/>
    <w:rsid w:val="001F791D"/>
    <w:rsid w:val="00200009"/>
    <w:rsid w:val="00200708"/>
    <w:rsid w:val="00200C3C"/>
    <w:rsid w:val="002042FD"/>
    <w:rsid w:val="00205DA6"/>
    <w:rsid w:val="00207DA0"/>
    <w:rsid w:val="00211339"/>
    <w:rsid w:val="00214697"/>
    <w:rsid w:val="00217348"/>
    <w:rsid w:val="00224E56"/>
    <w:rsid w:val="002526C5"/>
    <w:rsid w:val="00255564"/>
    <w:rsid w:val="00261109"/>
    <w:rsid w:val="00263F8C"/>
    <w:rsid w:val="00264C3E"/>
    <w:rsid w:val="002655A6"/>
    <w:rsid w:val="00267FD0"/>
    <w:rsid w:val="002714E3"/>
    <w:rsid w:val="00273D9F"/>
    <w:rsid w:val="002749A5"/>
    <w:rsid w:val="0027564D"/>
    <w:rsid w:val="00285D7A"/>
    <w:rsid w:val="00290481"/>
    <w:rsid w:val="00294AC1"/>
    <w:rsid w:val="00297397"/>
    <w:rsid w:val="002A5F10"/>
    <w:rsid w:val="002B19C6"/>
    <w:rsid w:val="002B71D0"/>
    <w:rsid w:val="002C3C60"/>
    <w:rsid w:val="002D2D1A"/>
    <w:rsid w:val="002E1C03"/>
    <w:rsid w:val="002E393B"/>
    <w:rsid w:val="002E3BF8"/>
    <w:rsid w:val="002E3DAD"/>
    <w:rsid w:val="002F1E4C"/>
    <w:rsid w:val="002F2B6A"/>
    <w:rsid w:val="002F4561"/>
    <w:rsid w:val="00302F0E"/>
    <w:rsid w:val="00303E6E"/>
    <w:rsid w:val="0030708A"/>
    <w:rsid w:val="0031086E"/>
    <w:rsid w:val="00316EE2"/>
    <w:rsid w:val="00327B5A"/>
    <w:rsid w:val="00333E4B"/>
    <w:rsid w:val="0033612F"/>
    <w:rsid w:val="003365EA"/>
    <w:rsid w:val="00353D02"/>
    <w:rsid w:val="00356801"/>
    <w:rsid w:val="0036601C"/>
    <w:rsid w:val="003768D8"/>
    <w:rsid w:val="003810FA"/>
    <w:rsid w:val="00383B14"/>
    <w:rsid w:val="0039185F"/>
    <w:rsid w:val="00394076"/>
    <w:rsid w:val="003A0C30"/>
    <w:rsid w:val="003A51ED"/>
    <w:rsid w:val="003B14AB"/>
    <w:rsid w:val="003B26B6"/>
    <w:rsid w:val="003B2A44"/>
    <w:rsid w:val="003B2D88"/>
    <w:rsid w:val="003B42E1"/>
    <w:rsid w:val="003B52D4"/>
    <w:rsid w:val="003C444B"/>
    <w:rsid w:val="003C4FB4"/>
    <w:rsid w:val="003C51B8"/>
    <w:rsid w:val="003D00AA"/>
    <w:rsid w:val="003D1B91"/>
    <w:rsid w:val="003D29D6"/>
    <w:rsid w:val="003D520C"/>
    <w:rsid w:val="003D7883"/>
    <w:rsid w:val="003E690D"/>
    <w:rsid w:val="003F1A4A"/>
    <w:rsid w:val="003F23F8"/>
    <w:rsid w:val="003F3DB7"/>
    <w:rsid w:val="003F6803"/>
    <w:rsid w:val="003F7411"/>
    <w:rsid w:val="00403FC8"/>
    <w:rsid w:val="00404709"/>
    <w:rsid w:val="00406C58"/>
    <w:rsid w:val="00410E11"/>
    <w:rsid w:val="004115E7"/>
    <w:rsid w:val="00424522"/>
    <w:rsid w:val="00424B46"/>
    <w:rsid w:val="0042506D"/>
    <w:rsid w:val="00425A45"/>
    <w:rsid w:val="00425DC2"/>
    <w:rsid w:val="0043123F"/>
    <w:rsid w:val="00444327"/>
    <w:rsid w:val="0044639B"/>
    <w:rsid w:val="00457A70"/>
    <w:rsid w:val="00473785"/>
    <w:rsid w:val="00480850"/>
    <w:rsid w:val="00484779"/>
    <w:rsid w:val="00490541"/>
    <w:rsid w:val="00493648"/>
    <w:rsid w:val="00493FC7"/>
    <w:rsid w:val="004B0C03"/>
    <w:rsid w:val="004C25DC"/>
    <w:rsid w:val="004D6F86"/>
    <w:rsid w:val="004E03AA"/>
    <w:rsid w:val="004E3B80"/>
    <w:rsid w:val="004E4873"/>
    <w:rsid w:val="004E757F"/>
    <w:rsid w:val="004E787E"/>
    <w:rsid w:val="004F7012"/>
    <w:rsid w:val="00501250"/>
    <w:rsid w:val="00511E55"/>
    <w:rsid w:val="0051370B"/>
    <w:rsid w:val="005241CA"/>
    <w:rsid w:val="00524AD7"/>
    <w:rsid w:val="005271B8"/>
    <w:rsid w:val="0054400E"/>
    <w:rsid w:val="00546B8D"/>
    <w:rsid w:val="00553F02"/>
    <w:rsid w:val="00555F5C"/>
    <w:rsid w:val="00557172"/>
    <w:rsid w:val="00561ECC"/>
    <w:rsid w:val="0057154F"/>
    <w:rsid w:val="005838F2"/>
    <w:rsid w:val="00593BDD"/>
    <w:rsid w:val="005B1418"/>
    <w:rsid w:val="005B5827"/>
    <w:rsid w:val="005B7B24"/>
    <w:rsid w:val="005C161B"/>
    <w:rsid w:val="005C3A24"/>
    <w:rsid w:val="005C7A88"/>
    <w:rsid w:val="005D0ABD"/>
    <w:rsid w:val="005D567D"/>
    <w:rsid w:val="005E521A"/>
    <w:rsid w:val="005E77F2"/>
    <w:rsid w:val="005E7942"/>
    <w:rsid w:val="005F10D2"/>
    <w:rsid w:val="005F5154"/>
    <w:rsid w:val="005F683F"/>
    <w:rsid w:val="00601A6D"/>
    <w:rsid w:val="006064CA"/>
    <w:rsid w:val="00606EBC"/>
    <w:rsid w:val="00612671"/>
    <w:rsid w:val="006131B0"/>
    <w:rsid w:val="006137AB"/>
    <w:rsid w:val="00621E11"/>
    <w:rsid w:val="00624996"/>
    <w:rsid w:val="00637301"/>
    <w:rsid w:val="00641022"/>
    <w:rsid w:val="006443DD"/>
    <w:rsid w:val="0065091C"/>
    <w:rsid w:val="006520BD"/>
    <w:rsid w:val="00653FD3"/>
    <w:rsid w:val="00656371"/>
    <w:rsid w:val="0066535E"/>
    <w:rsid w:val="00666C40"/>
    <w:rsid w:val="006740C3"/>
    <w:rsid w:val="0068279E"/>
    <w:rsid w:val="006828B4"/>
    <w:rsid w:val="00682DF8"/>
    <w:rsid w:val="0068530F"/>
    <w:rsid w:val="00691F3F"/>
    <w:rsid w:val="00695FC9"/>
    <w:rsid w:val="006B4885"/>
    <w:rsid w:val="006B787C"/>
    <w:rsid w:val="006C6FE7"/>
    <w:rsid w:val="006D217C"/>
    <w:rsid w:val="006D6C2C"/>
    <w:rsid w:val="006E01D0"/>
    <w:rsid w:val="006E1C87"/>
    <w:rsid w:val="006E74B9"/>
    <w:rsid w:val="006F45AF"/>
    <w:rsid w:val="006F6697"/>
    <w:rsid w:val="007044A7"/>
    <w:rsid w:val="00705771"/>
    <w:rsid w:val="00706622"/>
    <w:rsid w:val="00713B09"/>
    <w:rsid w:val="007144A7"/>
    <w:rsid w:val="007160B9"/>
    <w:rsid w:val="00716159"/>
    <w:rsid w:val="0072124F"/>
    <w:rsid w:val="007215EB"/>
    <w:rsid w:val="00723FC3"/>
    <w:rsid w:val="00726BB7"/>
    <w:rsid w:val="00751D30"/>
    <w:rsid w:val="0075377B"/>
    <w:rsid w:val="00754755"/>
    <w:rsid w:val="007578AE"/>
    <w:rsid w:val="00760184"/>
    <w:rsid w:val="00773F64"/>
    <w:rsid w:val="00775BD9"/>
    <w:rsid w:val="00780EA9"/>
    <w:rsid w:val="00785AD2"/>
    <w:rsid w:val="00790125"/>
    <w:rsid w:val="00794186"/>
    <w:rsid w:val="00794CDC"/>
    <w:rsid w:val="00794D65"/>
    <w:rsid w:val="00795DF9"/>
    <w:rsid w:val="007A2217"/>
    <w:rsid w:val="007A3A72"/>
    <w:rsid w:val="007A6F78"/>
    <w:rsid w:val="007A7423"/>
    <w:rsid w:val="007A7B36"/>
    <w:rsid w:val="007B170E"/>
    <w:rsid w:val="007B6A82"/>
    <w:rsid w:val="007C2521"/>
    <w:rsid w:val="007C4DD6"/>
    <w:rsid w:val="007D327D"/>
    <w:rsid w:val="007E1394"/>
    <w:rsid w:val="007E27EB"/>
    <w:rsid w:val="007E3432"/>
    <w:rsid w:val="007F678C"/>
    <w:rsid w:val="007F6FF8"/>
    <w:rsid w:val="00802EB0"/>
    <w:rsid w:val="00807DBA"/>
    <w:rsid w:val="00811D45"/>
    <w:rsid w:val="008164E8"/>
    <w:rsid w:val="00827EB7"/>
    <w:rsid w:val="008358C2"/>
    <w:rsid w:val="0084105F"/>
    <w:rsid w:val="00845B3D"/>
    <w:rsid w:val="008531F6"/>
    <w:rsid w:val="008556B5"/>
    <w:rsid w:val="00863B5C"/>
    <w:rsid w:val="00866781"/>
    <w:rsid w:val="008726BC"/>
    <w:rsid w:val="008739FD"/>
    <w:rsid w:val="00875DAC"/>
    <w:rsid w:val="008778C8"/>
    <w:rsid w:val="00886DF8"/>
    <w:rsid w:val="00890A94"/>
    <w:rsid w:val="008930F9"/>
    <w:rsid w:val="008961CA"/>
    <w:rsid w:val="00896877"/>
    <w:rsid w:val="008A147A"/>
    <w:rsid w:val="008A1C8A"/>
    <w:rsid w:val="008A3036"/>
    <w:rsid w:val="008B03A6"/>
    <w:rsid w:val="008B3F9A"/>
    <w:rsid w:val="008B5576"/>
    <w:rsid w:val="008B62D4"/>
    <w:rsid w:val="008C02A4"/>
    <w:rsid w:val="008C059D"/>
    <w:rsid w:val="008C1A5C"/>
    <w:rsid w:val="008C1DEE"/>
    <w:rsid w:val="008C288D"/>
    <w:rsid w:val="008C5821"/>
    <w:rsid w:val="008D0724"/>
    <w:rsid w:val="008D43B2"/>
    <w:rsid w:val="008F3F22"/>
    <w:rsid w:val="008F5B92"/>
    <w:rsid w:val="008F79DE"/>
    <w:rsid w:val="0090355F"/>
    <w:rsid w:val="00906563"/>
    <w:rsid w:val="00913987"/>
    <w:rsid w:val="00913BFB"/>
    <w:rsid w:val="00915F2F"/>
    <w:rsid w:val="009162D3"/>
    <w:rsid w:val="009218E1"/>
    <w:rsid w:val="009223B5"/>
    <w:rsid w:val="00923598"/>
    <w:rsid w:val="00925384"/>
    <w:rsid w:val="0092553E"/>
    <w:rsid w:val="009258DA"/>
    <w:rsid w:val="00927E86"/>
    <w:rsid w:val="00931CF3"/>
    <w:rsid w:val="00941619"/>
    <w:rsid w:val="009434AD"/>
    <w:rsid w:val="009522FC"/>
    <w:rsid w:val="00960C45"/>
    <w:rsid w:val="00965080"/>
    <w:rsid w:val="0096721C"/>
    <w:rsid w:val="009705B0"/>
    <w:rsid w:val="009731AD"/>
    <w:rsid w:val="00975DD7"/>
    <w:rsid w:val="009823AA"/>
    <w:rsid w:val="00987292"/>
    <w:rsid w:val="009B7A8A"/>
    <w:rsid w:val="009C0782"/>
    <w:rsid w:val="009C7CE6"/>
    <w:rsid w:val="009D1267"/>
    <w:rsid w:val="009D1E9C"/>
    <w:rsid w:val="009D62BC"/>
    <w:rsid w:val="009D70D6"/>
    <w:rsid w:val="009E19DA"/>
    <w:rsid w:val="009E1AEA"/>
    <w:rsid w:val="009E1D54"/>
    <w:rsid w:val="009E5414"/>
    <w:rsid w:val="00A0048F"/>
    <w:rsid w:val="00A07342"/>
    <w:rsid w:val="00A07B92"/>
    <w:rsid w:val="00A138DE"/>
    <w:rsid w:val="00A2560A"/>
    <w:rsid w:val="00A2565D"/>
    <w:rsid w:val="00A33D45"/>
    <w:rsid w:val="00A37351"/>
    <w:rsid w:val="00A538DD"/>
    <w:rsid w:val="00A55C3D"/>
    <w:rsid w:val="00A62D90"/>
    <w:rsid w:val="00A80004"/>
    <w:rsid w:val="00A80C81"/>
    <w:rsid w:val="00A93EE4"/>
    <w:rsid w:val="00A95172"/>
    <w:rsid w:val="00A95C9E"/>
    <w:rsid w:val="00AB09C5"/>
    <w:rsid w:val="00AB1B00"/>
    <w:rsid w:val="00AB6594"/>
    <w:rsid w:val="00AC2955"/>
    <w:rsid w:val="00AD1E0E"/>
    <w:rsid w:val="00AD4C4D"/>
    <w:rsid w:val="00AE10D9"/>
    <w:rsid w:val="00AE3CD3"/>
    <w:rsid w:val="00AE611D"/>
    <w:rsid w:val="00AE6CB3"/>
    <w:rsid w:val="00AE6D2A"/>
    <w:rsid w:val="00AF2DBE"/>
    <w:rsid w:val="00AF4D89"/>
    <w:rsid w:val="00AF7F5B"/>
    <w:rsid w:val="00B04106"/>
    <w:rsid w:val="00B1467C"/>
    <w:rsid w:val="00B20407"/>
    <w:rsid w:val="00B269D9"/>
    <w:rsid w:val="00B4331B"/>
    <w:rsid w:val="00B4521B"/>
    <w:rsid w:val="00B5291B"/>
    <w:rsid w:val="00B56210"/>
    <w:rsid w:val="00B65CB6"/>
    <w:rsid w:val="00B70A6E"/>
    <w:rsid w:val="00B71195"/>
    <w:rsid w:val="00B81FA3"/>
    <w:rsid w:val="00B843E6"/>
    <w:rsid w:val="00B85D01"/>
    <w:rsid w:val="00B86F6E"/>
    <w:rsid w:val="00B86FD5"/>
    <w:rsid w:val="00B8719A"/>
    <w:rsid w:val="00B95122"/>
    <w:rsid w:val="00BA02FE"/>
    <w:rsid w:val="00BA1BC6"/>
    <w:rsid w:val="00BA2FC2"/>
    <w:rsid w:val="00BA5469"/>
    <w:rsid w:val="00BC1C4A"/>
    <w:rsid w:val="00BC68A0"/>
    <w:rsid w:val="00BD6E44"/>
    <w:rsid w:val="00BD7285"/>
    <w:rsid w:val="00BF5660"/>
    <w:rsid w:val="00BF5975"/>
    <w:rsid w:val="00C10A35"/>
    <w:rsid w:val="00C11B7C"/>
    <w:rsid w:val="00C12F29"/>
    <w:rsid w:val="00C2601C"/>
    <w:rsid w:val="00C32502"/>
    <w:rsid w:val="00C33D6E"/>
    <w:rsid w:val="00C34D00"/>
    <w:rsid w:val="00C35E7C"/>
    <w:rsid w:val="00C35E9A"/>
    <w:rsid w:val="00C41888"/>
    <w:rsid w:val="00C4445D"/>
    <w:rsid w:val="00C51A15"/>
    <w:rsid w:val="00C52490"/>
    <w:rsid w:val="00C60C4E"/>
    <w:rsid w:val="00C7072D"/>
    <w:rsid w:val="00C70950"/>
    <w:rsid w:val="00C7364B"/>
    <w:rsid w:val="00C75A43"/>
    <w:rsid w:val="00C86D2C"/>
    <w:rsid w:val="00C90735"/>
    <w:rsid w:val="00C91C82"/>
    <w:rsid w:val="00CA191F"/>
    <w:rsid w:val="00CA1CE5"/>
    <w:rsid w:val="00CA5CDE"/>
    <w:rsid w:val="00CB7246"/>
    <w:rsid w:val="00CC6EE5"/>
    <w:rsid w:val="00CD2F9B"/>
    <w:rsid w:val="00CD3A4D"/>
    <w:rsid w:val="00CD68F7"/>
    <w:rsid w:val="00CE1679"/>
    <w:rsid w:val="00CE39A2"/>
    <w:rsid w:val="00CE6BD9"/>
    <w:rsid w:val="00CE76A6"/>
    <w:rsid w:val="00CE792C"/>
    <w:rsid w:val="00CF31A8"/>
    <w:rsid w:val="00CF5347"/>
    <w:rsid w:val="00D008DB"/>
    <w:rsid w:val="00D05BAA"/>
    <w:rsid w:val="00D12C7B"/>
    <w:rsid w:val="00D15A07"/>
    <w:rsid w:val="00D23A88"/>
    <w:rsid w:val="00D23A98"/>
    <w:rsid w:val="00D34C96"/>
    <w:rsid w:val="00D430D1"/>
    <w:rsid w:val="00D449F7"/>
    <w:rsid w:val="00D47157"/>
    <w:rsid w:val="00D52D21"/>
    <w:rsid w:val="00D571BF"/>
    <w:rsid w:val="00D620A7"/>
    <w:rsid w:val="00D635C8"/>
    <w:rsid w:val="00D641AB"/>
    <w:rsid w:val="00D711A6"/>
    <w:rsid w:val="00D7374E"/>
    <w:rsid w:val="00D75531"/>
    <w:rsid w:val="00D75EFE"/>
    <w:rsid w:val="00D851CD"/>
    <w:rsid w:val="00D87AAB"/>
    <w:rsid w:val="00D9121B"/>
    <w:rsid w:val="00D9211C"/>
    <w:rsid w:val="00D93444"/>
    <w:rsid w:val="00DA30B1"/>
    <w:rsid w:val="00DA334F"/>
    <w:rsid w:val="00DB079A"/>
    <w:rsid w:val="00DB5CA8"/>
    <w:rsid w:val="00DC4205"/>
    <w:rsid w:val="00DE540D"/>
    <w:rsid w:val="00DE7F07"/>
    <w:rsid w:val="00DF00FD"/>
    <w:rsid w:val="00E06166"/>
    <w:rsid w:val="00E07ECE"/>
    <w:rsid w:val="00E165F8"/>
    <w:rsid w:val="00E17548"/>
    <w:rsid w:val="00E2122B"/>
    <w:rsid w:val="00E231B2"/>
    <w:rsid w:val="00E27CCC"/>
    <w:rsid w:val="00E31C6C"/>
    <w:rsid w:val="00E32E65"/>
    <w:rsid w:val="00E33D98"/>
    <w:rsid w:val="00E37F18"/>
    <w:rsid w:val="00E42586"/>
    <w:rsid w:val="00E435EB"/>
    <w:rsid w:val="00E47CD2"/>
    <w:rsid w:val="00E50C2E"/>
    <w:rsid w:val="00E50EF5"/>
    <w:rsid w:val="00E5176E"/>
    <w:rsid w:val="00E53538"/>
    <w:rsid w:val="00E57362"/>
    <w:rsid w:val="00E65A24"/>
    <w:rsid w:val="00E67A1F"/>
    <w:rsid w:val="00E704A8"/>
    <w:rsid w:val="00E715CF"/>
    <w:rsid w:val="00E7637B"/>
    <w:rsid w:val="00E7672A"/>
    <w:rsid w:val="00E8408B"/>
    <w:rsid w:val="00E87BAD"/>
    <w:rsid w:val="00E905FE"/>
    <w:rsid w:val="00E957F4"/>
    <w:rsid w:val="00E97365"/>
    <w:rsid w:val="00E97937"/>
    <w:rsid w:val="00EA0933"/>
    <w:rsid w:val="00EA0DD3"/>
    <w:rsid w:val="00EA38E3"/>
    <w:rsid w:val="00EA4085"/>
    <w:rsid w:val="00EA5CB4"/>
    <w:rsid w:val="00EB13B1"/>
    <w:rsid w:val="00EB2590"/>
    <w:rsid w:val="00EC07CD"/>
    <w:rsid w:val="00EC297A"/>
    <w:rsid w:val="00EC3CC8"/>
    <w:rsid w:val="00EC70B8"/>
    <w:rsid w:val="00ED464E"/>
    <w:rsid w:val="00ED6340"/>
    <w:rsid w:val="00EE2855"/>
    <w:rsid w:val="00EE51F8"/>
    <w:rsid w:val="00EF1AED"/>
    <w:rsid w:val="00EF32DD"/>
    <w:rsid w:val="00F00232"/>
    <w:rsid w:val="00F0541B"/>
    <w:rsid w:val="00F13982"/>
    <w:rsid w:val="00F14339"/>
    <w:rsid w:val="00F1747C"/>
    <w:rsid w:val="00F20572"/>
    <w:rsid w:val="00F20C2F"/>
    <w:rsid w:val="00F37F3D"/>
    <w:rsid w:val="00F42C82"/>
    <w:rsid w:val="00F469C5"/>
    <w:rsid w:val="00F46FA3"/>
    <w:rsid w:val="00F47693"/>
    <w:rsid w:val="00F624C3"/>
    <w:rsid w:val="00F62EA3"/>
    <w:rsid w:val="00F72133"/>
    <w:rsid w:val="00F8082D"/>
    <w:rsid w:val="00F80D19"/>
    <w:rsid w:val="00F823B1"/>
    <w:rsid w:val="00F84A56"/>
    <w:rsid w:val="00F917FD"/>
    <w:rsid w:val="00F9348F"/>
    <w:rsid w:val="00F937D4"/>
    <w:rsid w:val="00FA791E"/>
    <w:rsid w:val="00FB2E02"/>
    <w:rsid w:val="00FB428E"/>
    <w:rsid w:val="00FB682E"/>
    <w:rsid w:val="00FC1CAB"/>
    <w:rsid w:val="00FC29FA"/>
    <w:rsid w:val="00FC485F"/>
    <w:rsid w:val="00FD0242"/>
    <w:rsid w:val="00FD10E1"/>
    <w:rsid w:val="00FD1F51"/>
    <w:rsid w:val="00FD3FA4"/>
    <w:rsid w:val="00FE00B6"/>
    <w:rsid w:val="00FE6546"/>
    <w:rsid w:val="00FF21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9A0A4"/>
  <w15:docId w15:val="{46A8D6BD-09A0-43B6-B531-781523C5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DF8"/>
    <w:pPr>
      <w:keepNext/>
      <w:keepLines/>
      <w:spacing w:before="480"/>
      <w:outlineLvl w:val="0"/>
    </w:pPr>
    <w:rPr>
      <w:rFonts w:asciiTheme="majorHAnsi" w:eastAsiaTheme="majorEastAsia" w:hAnsiTheme="majorHAnsi" w:cstheme="majorBidi"/>
      <w:b/>
      <w:bCs/>
      <w:color w:val="2E74B5" w:themeColor="accent1" w:themeShade="BF"/>
      <w:sz w:val="36"/>
      <w:szCs w:val="28"/>
    </w:rPr>
  </w:style>
  <w:style w:type="paragraph" w:styleId="Heading2">
    <w:name w:val="heading 2"/>
    <w:basedOn w:val="Normal"/>
    <w:next w:val="Normal"/>
    <w:link w:val="Heading2Char"/>
    <w:uiPriority w:val="9"/>
    <w:unhideWhenUsed/>
    <w:qFormat/>
    <w:rsid w:val="00682DF8"/>
    <w:pPr>
      <w:keepNext/>
      <w:keepLines/>
      <w:spacing w:before="20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unhideWhenUsed/>
    <w:qFormat/>
    <w:rsid w:val="00682DF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B52D4"/>
    <w:pPr>
      <w:numPr>
        <w:numId w:val="1"/>
      </w:numPr>
    </w:pPr>
  </w:style>
  <w:style w:type="numbering" w:customStyle="1" w:styleId="Style2">
    <w:name w:val="Style2"/>
    <w:uiPriority w:val="99"/>
    <w:rsid w:val="000A0713"/>
    <w:pPr>
      <w:numPr>
        <w:numId w:val="2"/>
      </w:numPr>
    </w:pPr>
  </w:style>
  <w:style w:type="table" w:styleId="TableGrid">
    <w:name w:val="Table Grid"/>
    <w:basedOn w:val="TableNormal"/>
    <w:uiPriority w:val="39"/>
    <w:rsid w:val="008A14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7CD"/>
    <w:pPr>
      <w:ind w:left="720"/>
      <w:contextualSpacing/>
    </w:pPr>
  </w:style>
  <w:style w:type="paragraph" w:customStyle="1" w:styleId="Default">
    <w:name w:val="Default"/>
    <w:rsid w:val="00C86D2C"/>
    <w:pPr>
      <w:autoSpaceDE w:val="0"/>
      <w:autoSpaceDN w:val="0"/>
      <w:adjustRightInd w:val="0"/>
      <w:spacing w:line="240" w:lineRule="auto"/>
    </w:pPr>
    <w:rPr>
      <w:rFonts w:cs="Calibri"/>
      <w:color w:val="000000"/>
      <w:sz w:val="24"/>
      <w:szCs w:val="24"/>
    </w:rPr>
  </w:style>
  <w:style w:type="paragraph" w:styleId="Header">
    <w:name w:val="header"/>
    <w:basedOn w:val="Normal"/>
    <w:link w:val="HeaderChar"/>
    <w:uiPriority w:val="99"/>
    <w:unhideWhenUsed/>
    <w:rsid w:val="00C86D2C"/>
    <w:pPr>
      <w:tabs>
        <w:tab w:val="center" w:pos="4680"/>
        <w:tab w:val="right" w:pos="9360"/>
      </w:tabs>
      <w:spacing w:line="240" w:lineRule="auto"/>
    </w:pPr>
  </w:style>
  <w:style w:type="character" w:customStyle="1" w:styleId="HeaderChar">
    <w:name w:val="Header Char"/>
    <w:basedOn w:val="DefaultParagraphFont"/>
    <w:link w:val="Header"/>
    <w:uiPriority w:val="99"/>
    <w:rsid w:val="00C86D2C"/>
  </w:style>
  <w:style w:type="paragraph" w:styleId="Footer">
    <w:name w:val="footer"/>
    <w:basedOn w:val="Normal"/>
    <w:link w:val="FooterChar"/>
    <w:uiPriority w:val="99"/>
    <w:unhideWhenUsed/>
    <w:rsid w:val="00C86D2C"/>
    <w:pPr>
      <w:tabs>
        <w:tab w:val="center" w:pos="4680"/>
        <w:tab w:val="right" w:pos="9360"/>
      </w:tabs>
      <w:spacing w:line="240" w:lineRule="auto"/>
    </w:pPr>
  </w:style>
  <w:style w:type="character" w:customStyle="1" w:styleId="FooterChar">
    <w:name w:val="Footer Char"/>
    <w:basedOn w:val="DefaultParagraphFont"/>
    <w:link w:val="Footer"/>
    <w:uiPriority w:val="99"/>
    <w:rsid w:val="00C86D2C"/>
  </w:style>
  <w:style w:type="character" w:customStyle="1" w:styleId="Heading1Char">
    <w:name w:val="Heading 1 Char"/>
    <w:basedOn w:val="DefaultParagraphFont"/>
    <w:link w:val="Heading1"/>
    <w:uiPriority w:val="9"/>
    <w:rsid w:val="00682DF8"/>
    <w:rPr>
      <w:rFonts w:asciiTheme="majorHAnsi" w:eastAsiaTheme="majorEastAsia" w:hAnsiTheme="majorHAnsi" w:cstheme="majorBidi"/>
      <w:b/>
      <w:bCs/>
      <w:color w:val="2E74B5" w:themeColor="accent1" w:themeShade="BF"/>
      <w:sz w:val="36"/>
      <w:szCs w:val="28"/>
    </w:rPr>
  </w:style>
  <w:style w:type="character" w:customStyle="1" w:styleId="Heading2Char">
    <w:name w:val="Heading 2 Char"/>
    <w:basedOn w:val="DefaultParagraphFont"/>
    <w:link w:val="Heading2"/>
    <w:uiPriority w:val="9"/>
    <w:rsid w:val="00682DF8"/>
    <w:rPr>
      <w:rFonts w:asciiTheme="majorHAnsi" w:eastAsiaTheme="majorEastAsia" w:hAnsiTheme="majorHAnsi" w:cstheme="majorBidi"/>
      <w:b/>
      <w:bCs/>
      <w:color w:val="5B9BD5" w:themeColor="accent1"/>
      <w:szCs w:val="26"/>
    </w:rPr>
  </w:style>
  <w:style w:type="character" w:customStyle="1" w:styleId="Heading3Char">
    <w:name w:val="Heading 3 Char"/>
    <w:basedOn w:val="DefaultParagraphFont"/>
    <w:link w:val="Heading3"/>
    <w:uiPriority w:val="9"/>
    <w:rsid w:val="00682DF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F917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FD"/>
    <w:rPr>
      <w:rFonts w:ascii="Tahoma" w:hAnsi="Tahoma" w:cs="Tahoma"/>
      <w:sz w:val="16"/>
      <w:szCs w:val="16"/>
    </w:rPr>
  </w:style>
  <w:style w:type="character" w:styleId="Hyperlink">
    <w:name w:val="Hyperlink"/>
    <w:basedOn w:val="DefaultParagraphFont"/>
    <w:uiPriority w:val="99"/>
    <w:unhideWhenUsed/>
    <w:rsid w:val="00DA30B1"/>
    <w:rPr>
      <w:color w:val="0563C1" w:themeColor="hyperlink"/>
      <w:u w:val="single"/>
    </w:rPr>
  </w:style>
  <w:style w:type="character" w:customStyle="1" w:styleId="highlight">
    <w:name w:val="highlight"/>
    <w:basedOn w:val="DefaultParagraphFont"/>
    <w:rsid w:val="00F62EA3"/>
  </w:style>
  <w:style w:type="character" w:customStyle="1" w:styleId="acpxkynzsg">
    <w:name w:val="acpxkynzsg"/>
    <w:basedOn w:val="DefaultParagraphFont"/>
    <w:rsid w:val="00D008DB"/>
  </w:style>
  <w:style w:type="paragraph" w:styleId="FootnoteText">
    <w:name w:val="footnote text"/>
    <w:basedOn w:val="Normal"/>
    <w:link w:val="FootnoteTextChar"/>
    <w:uiPriority w:val="99"/>
    <w:semiHidden/>
    <w:unhideWhenUsed/>
    <w:rsid w:val="00D008D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008DB"/>
    <w:rPr>
      <w:rFonts w:asciiTheme="minorHAnsi" w:hAnsiTheme="minorHAnsi"/>
      <w:sz w:val="20"/>
      <w:szCs w:val="20"/>
    </w:rPr>
  </w:style>
  <w:style w:type="character" w:styleId="FootnoteReference">
    <w:name w:val="footnote reference"/>
    <w:basedOn w:val="DefaultParagraphFont"/>
    <w:uiPriority w:val="99"/>
    <w:semiHidden/>
    <w:unhideWhenUsed/>
    <w:rsid w:val="00D008DB"/>
    <w:rPr>
      <w:vertAlign w:val="superscript"/>
    </w:rPr>
  </w:style>
  <w:style w:type="character" w:styleId="Mention">
    <w:name w:val="Mention"/>
    <w:basedOn w:val="DefaultParagraphFont"/>
    <w:uiPriority w:val="99"/>
    <w:semiHidden/>
    <w:unhideWhenUsed/>
    <w:rsid w:val="00D05BAA"/>
    <w:rPr>
      <w:color w:val="2B579A"/>
      <w:shd w:val="clear" w:color="auto" w:fill="E6E6E6"/>
    </w:rPr>
  </w:style>
  <w:style w:type="paragraph" w:styleId="NormalWeb">
    <w:name w:val="Normal (Web)"/>
    <w:basedOn w:val="Normal"/>
    <w:uiPriority w:val="99"/>
    <w:unhideWhenUsed/>
    <w:rsid w:val="005B7B24"/>
    <w:pPr>
      <w:spacing w:before="100" w:beforeAutospacing="1" w:after="100" w:afterAutospacing="1" w:line="240" w:lineRule="auto"/>
    </w:pPr>
    <w:rPr>
      <w:rFonts w:cs="Calibri"/>
      <w:sz w:val="22"/>
      <w:lang w:val="en-US"/>
    </w:rPr>
  </w:style>
  <w:style w:type="character" w:styleId="FollowedHyperlink">
    <w:name w:val="FollowedHyperlink"/>
    <w:basedOn w:val="DefaultParagraphFont"/>
    <w:uiPriority w:val="99"/>
    <w:semiHidden/>
    <w:unhideWhenUsed/>
    <w:rsid w:val="001E15E5"/>
    <w:rPr>
      <w:color w:val="954F72" w:themeColor="followedHyperlink"/>
      <w:u w:val="single"/>
    </w:rPr>
  </w:style>
  <w:style w:type="paragraph" w:styleId="Revision">
    <w:name w:val="Revision"/>
    <w:hidden/>
    <w:uiPriority w:val="99"/>
    <w:semiHidden/>
    <w:rsid w:val="00501250"/>
    <w:pPr>
      <w:spacing w:line="240" w:lineRule="auto"/>
    </w:pPr>
  </w:style>
  <w:style w:type="character" w:styleId="UnresolvedMention">
    <w:name w:val="Unresolved Mention"/>
    <w:basedOn w:val="DefaultParagraphFont"/>
    <w:uiPriority w:val="99"/>
    <w:semiHidden/>
    <w:unhideWhenUsed/>
    <w:rsid w:val="00FD0242"/>
    <w:rPr>
      <w:color w:val="605E5C"/>
      <w:shd w:val="clear" w:color="auto" w:fill="E1DFDD"/>
    </w:rPr>
  </w:style>
  <w:style w:type="character" w:styleId="CommentReference">
    <w:name w:val="annotation reference"/>
    <w:basedOn w:val="DefaultParagraphFont"/>
    <w:uiPriority w:val="99"/>
    <w:semiHidden/>
    <w:unhideWhenUsed/>
    <w:rsid w:val="00D711A6"/>
    <w:rPr>
      <w:sz w:val="16"/>
      <w:szCs w:val="16"/>
    </w:rPr>
  </w:style>
  <w:style w:type="paragraph" w:styleId="CommentText">
    <w:name w:val="annotation text"/>
    <w:basedOn w:val="Normal"/>
    <w:link w:val="CommentTextChar"/>
    <w:uiPriority w:val="99"/>
    <w:unhideWhenUsed/>
    <w:rsid w:val="00D711A6"/>
    <w:pPr>
      <w:spacing w:line="240" w:lineRule="auto"/>
    </w:pPr>
    <w:rPr>
      <w:sz w:val="20"/>
      <w:szCs w:val="20"/>
    </w:rPr>
  </w:style>
  <w:style w:type="character" w:customStyle="1" w:styleId="CommentTextChar">
    <w:name w:val="Comment Text Char"/>
    <w:basedOn w:val="DefaultParagraphFont"/>
    <w:link w:val="CommentText"/>
    <w:uiPriority w:val="99"/>
    <w:rsid w:val="00D711A6"/>
    <w:rPr>
      <w:sz w:val="20"/>
      <w:szCs w:val="20"/>
    </w:rPr>
  </w:style>
  <w:style w:type="paragraph" w:styleId="CommentSubject">
    <w:name w:val="annotation subject"/>
    <w:basedOn w:val="CommentText"/>
    <w:next w:val="CommentText"/>
    <w:link w:val="CommentSubjectChar"/>
    <w:uiPriority w:val="99"/>
    <w:semiHidden/>
    <w:unhideWhenUsed/>
    <w:rsid w:val="00D711A6"/>
    <w:rPr>
      <w:b/>
      <w:bCs/>
    </w:rPr>
  </w:style>
  <w:style w:type="character" w:customStyle="1" w:styleId="CommentSubjectChar">
    <w:name w:val="Comment Subject Char"/>
    <w:basedOn w:val="CommentTextChar"/>
    <w:link w:val="CommentSubject"/>
    <w:uiPriority w:val="99"/>
    <w:semiHidden/>
    <w:rsid w:val="00D71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9145">
      <w:bodyDiv w:val="1"/>
      <w:marLeft w:val="0"/>
      <w:marRight w:val="0"/>
      <w:marTop w:val="0"/>
      <w:marBottom w:val="0"/>
      <w:divBdr>
        <w:top w:val="none" w:sz="0" w:space="0" w:color="auto"/>
        <w:left w:val="none" w:sz="0" w:space="0" w:color="auto"/>
        <w:bottom w:val="none" w:sz="0" w:space="0" w:color="auto"/>
        <w:right w:val="none" w:sz="0" w:space="0" w:color="auto"/>
      </w:divBdr>
    </w:div>
    <w:div w:id="480999325">
      <w:bodyDiv w:val="1"/>
      <w:marLeft w:val="0"/>
      <w:marRight w:val="0"/>
      <w:marTop w:val="0"/>
      <w:marBottom w:val="0"/>
      <w:divBdr>
        <w:top w:val="none" w:sz="0" w:space="0" w:color="auto"/>
        <w:left w:val="none" w:sz="0" w:space="0" w:color="auto"/>
        <w:bottom w:val="none" w:sz="0" w:space="0" w:color="auto"/>
        <w:right w:val="none" w:sz="0" w:space="0" w:color="auto"/>
      </w:divBdr>
      <w:divsChild>
        <w:div w:id="1203176670">
          <w:marLeft w:val="0"/>
          <w:marRight w:val="0"/>
          <w:marTop w:val="0"/>
          <w:marBottom w:val="0"/>
          <w:divBdr>
            <w:top w:val="none" w:sz="0" w:space="0" w:color="auto"/>
            <w:left w:val="none" w:sz="0" w:space="0" w:color="auto"/>
            <w:bottom w:val="none" w:sz="0" w:space="0" w:color="auto"/>
            <w:right w:val="none" w:sz="0" w:space="0" w:color="auto"/>
          </w:divBdr>
        </w:div>
        <w:div w:id="1073314950">
          <w:marLeft w:val="0"/>
          <w:marRight w:val="0"/>
          <w:marTop w:val="0"/>
          <w:marBottom w:val="0"/>
          <w:divBdr>
            <w:top w:val="none" w:sz="0" w:space="0" w:color="auto"/>
            <w:left w:val="none" w:sz="0" w:space="0" w:color="auto"/>
            <w:bottom w:val="none" w:sz="0" w:space="0" w:color="auto"/>
            <w:right w:val="none" w:sz="0" w:space="0" w:color="auto"/>
          </w:divBdr>
        </w:div>
        <w:div w:id="1529030180">
          <w:marLeft w:val="0"/>
          <w:marRight w:val="0"/>
          <w:marTop w:val="0"/>
          <w:marBottom w:val="0"/>
          <w:divBdr>
            <w:top w:val="none" w:sz="0" w:space="0" w:color="auto"/>
            <w:left w:val="none" w:sz="0" w:space="0" w:color="auto"/>
            <w:bottom w:val="none" w:sz="0" w:space="0" w:color="auto"/>
            <w:right w:val="none" w:sz="0" w:space="0" w:color="auto"/>
          </w:divBdr>
        </w:div>
        <w:div w:id="1053039541">
          <w:marLeft w:val="0"/>
          <w:marRight w:val="0"/>
          <w:marTop w:val="0"/>
          <w:marBottom w:val="0"/>
          <w:divBdr>
            <w:top w:val="none" w:sz="0" w:space="0" w:color="auto"/>
            <w:left w:val="none" w:sz="0" w:space="0" w:color="auto"/>
            <w:bottom w:val="none" w:sz="0" w:space="0" w:color="auto"/>
            <w:right w:val="none" w:sz="0" w:space="0" w:color="auto"/>
          </w:divBdr>
        </w:div>
        <w:div w:id="2049597309">
          <w:marLeft w:val="0"/>
          <w:marRight w:val="0"/>
          <w:marTop w:val="0"/>
          <w:marBottom w:val="0"/>
          <w:divBdr>
            <w:top w:val="none" w:sz="0" w:space="0" w:color="auto"/>
            <w:left w:val="none" w:sz="0" w:space="0" w:color="auto"/>
            <w:bottom w:val="none" w:sz="0" w:space="0" w:color="auto"/>
            <w:right w:val="none" w:sz="0" w:space="0" w:color="auto"/>
          </w:divBdr>
        </w:div>
        <w:div w:id="1732802274">
          <w:marLeft w:val="0"/>
          <w:marRight w:val="0"/>
          <w:marTop w:val="0"/>
          <w:marBottom w:val="0"/>
          <w:divBdr>
            <w:top w:val="none" w:sz="0" w:space="0" w:color="auto"/>
            <w:left w:val="none" w:sz="0" w:space="0" w:color="auto"/>
            <w:bottom w:val="none" w:sz="0" w:space="0" w:color="auto"/>
            <w:right w:val="none" w:sz="0" w:space="0" w:color="auto"/>
          </w:divBdr>
        </w:div>
        <w:div w:id="1816949387">
          <w:marLeft w:val="0"/>
          <w:marRight w:val="0"/>
          <w:marTop w:val="0"/>
          <w:marBottom w:val="0"/>
          <w:divBdr>
            <w:top w:val="none" w:sz="0" w:space="0" w:color="auto"/>
            <w:left w:val="none" w:sz="0" w:space="0" w:color="auto"/>
            <w:bottom w:val="none" w:sz="0" w:space="0" w:color="auto"/>
            <w:right w:val="none" w:sz="0" w:space="0" w:color="auto"/>
          </w:divBdr>
        </w:div>
        <w:div w:id="1686519406">
          <w:marLeft w:val="0"/>
          <w:marRight w:val="0"/>
          <w:marTop w:val="0"/>
          <w:marBottom w:val="0"/>
          <w:divBdr>
            <w:top w:val="none" w:sz="0" w:space="0" w:color="auto"/>
            <w:left w:val="none" w:sz="0" w:space="0" w:color="auto"/>
            <w:bottom w:val="none" w:sz="0" w:space="0" w:color="auto"/>
            <w:right w:val="none" w:sz="0" w:space="0" w:color="auto"/>
          </w:divBdr>
        </w:div>
        <w:div w:id="438721047">
          <w:marLeft w:val="0"/>
          <w:marRight w:val="0"/>
          <w:marTop w:val="0"/>
          <w:marBottom w:val="0"/>
          <w:divBdr>
            <w:top w:val="none" w:sz="0" w:space="0" w:color="auto"/>
            <w:left w:val="none" w:sz="0" w:space="0" w:color="auto"/>
            <w:bottom w:val="none" w:sz="0" w:space="0" w:color="auto"/>
            <w:right w:val="none" w:sz="0" w:space="0" w:color="auto"/>
          </w:divBdr>
        </w:div>
        <w:div w:id="1493060725">
          <w:marLeft w:val="0"/>
          <w:marRight w:val="0"/>
          <w:marTop w:val="0"/>
          <w:marBottom w:val="0"/>
          <w:divBdr>
            <w:top w:val="none" w:sz="0" w:space="0" w:color="auto"/>
            <w:left w:val="none" w:sz="0" w:space="0" w:color="auto"/>
            <w:bottom w:val="none" w:sz="0" w:space="0" w:color="auto"/>
            <w:right w:val="none" w:sz="0" w:space="0" w:color="auto"/>
          </w:divBdr>
        </w:div>
        <w:div w:id="1303002536">
          <w:marLeft w:val="0"/>
          <w:marRight w:val="0"/>
          <w:marTop w:val="0"/>
          <w:marBottom w:val="0"/>
          <w:divBdr>
            <w:top w:val="none" w:sz="0" w:space="0" w:color="auto"/>
            <w:left w:val="none" w:sz="0" w:space="0" w:color="auto"/>
            <w:bottom w:val="none" w:sz="0" w:space="0" w:color="auto"/>
            <w:right w:val="none" w:sz="0" w:space="0" w:color="auto"/>
          </w:divBdr>
        </w:div>
        <w:div w:id="1762095944">
          <w:marLeft w:val="0"/>
          <w:marRight w:val="0"/>
          <w:marTop w:val="0"/>
          <w:marBottom w:val="0"/>
          <w:divBdr>
            <w:top w:val="none" w:sz="0" w:space="0" w:color="auto"/>
            <w:left w:val="none" w:sz="0" w:space="0" w:color="auto"/>
            <w:bottom w:val="none" w:sz="0" w:space="0" w:color="auto"/>
            <w:right w:val="none" w:sz="0" w:space="0" w:color="auto"/>
          </w:divBdr>
        </w:div>
        <w:div w:id="902325501">
          <w:marLeft w:val="0"/>
          <w:marRight w:val="0"/>
          <w:marTop w:val="0"/>
          <w:marBottom w:val="0"/>
          <w:divBdr>
            <w:top w:val="none" w:sz="0" w:space="0" w:color="auto"/>
            <w:left w:val="none" w:sz="0" w:space="0" w:color="auto"/>
            <w:bottom w:val="none" w:sz="0" w:space="0" w:color="auto"/>
            <w:right w:val="none" w:sz="0" w:space="0" w:color="auto"/>
          </w:divBdr>
        </w:div>
        <w:div w:id="1873035440">
          <w:marLeft w:val="0"/>
          <w:marRight w:val="0"/>
          <w:marTop w:val="0"/>
          <w:marBottom w:val="0"/>
          <w:divBdr>
            <w:top w:val="none" w:sz="0" w:space="0" w:color="auto"/>
            <w:left w:val="none" w:sz="0" w:space="0" w:color="auto"/>
            <w:bottom w:val="none" w:sz="0" w:space="0" w:color="auto"/>
            <w:right w:val="none" w:sz="0" w:space="0" w:color="auto"/>
          </w:divBdr>
        </w:div>
        <w:div w:id="1164665111">
          <w:marLeft w:val="0"/>
          <w:marRight w:val="0"/>
          <w:marTop w:val="0"/>
          <w:marBottom w:val="0"/>
          <w:divBdr>
            <w:top w:val="none" w:sz="0" w:space="0" w:color="auto"/>
            <w:left w:val="none" w:sz="0" w:space="0" w:color="auto"/>
            <w:bottom w:val="none" w:sz="0" w:space="0" w:color="auto"/>
            <w:right w:val="none" w:sz="0" w:space="0" w:color="auto"/>
          </w:divBdr>
        </w:div>
        <w:div w:id="1549604730">
          <w:marLeft w:val="0"/>
          <w:marRight w:val="0"/>
          <w:marTop w:val="0"/>
          <w:marBottom w:val="0"/>
          <w:divBdr>
            <w:top w:val="none" w:sz="0" w:space="0" w:color="auto"/>
            <w:left w:val="none" w:sz="0" w:space="0" w:color="auto"/>
            <w:bottom w:val="none" w:sz="0" w:space="0" w:color="auto"/>
            <w:right w:val="none" w:sz="0" w:space="0" w:color="auto"/>
          </w:divBdr>
        </w:div>
        <w:div w:id="881525760">
          <w:marLeft w:val="0"/>
          <w:marRight w:val="0"/>
          <w:marTop w:val="0"/>
          <w:marBottom w:val="0"/>
          <w:divBdr>
            <w:top w:val="none" w:sz="0" w:space="0" w:color="auto"/>
            <w:left w:val="none" w:sz="0" w:space="0" w:color="auto"/>
            <w:bottom w:val="none" w:sz="0" w:space="0" w:color="auto"/>
            <w:right w:val="none" w:sz="0" w:space="0" w:color="auto"/>
          </w:divBdr>
        </w:div>
        <w:div w:id="115560885">
          <w:marLeft w:val="0"/>
          <w:marRight w:val="0"/>
          <w:marTop w:val="0"/>
          <w:marBottom w:val="0"/>
          <w:divBdr>
            <w:top w:val="none" w:sz="0" w:space="0" w:color="auto"/>
            <w:left w:val="none" w:sz="0" w:space="0" w:color="auto"/>
            <w:bottom w:val="none" w:sz="0" w:space="0" w:color="auto"/>
            <w:right w:val="none" w:sz="0" w:space="0" w:color="auto"/>
          </w:divBdr>
        </w:div>
        <w:div w:id="831532660">
          <w:marLeft w:val="0"/>
          <w:marRight w:val="0"/>
          <w:marTop w:val="0"/>
          <w:marBottom w:val="0"/>
          <w:divBdr>
            <w:top w:val="none" w:sz="0" w:space="0" w:color="auto"/>
            <w:left w:val="none" w:sz="0" w:space="0" w:color="auto"/>
            <w:bottom w:val="none" w:sz="0" w:space="0" w:color="auto"/>
            <w:right w:val="none" w:sz="0" w:space="0" w:color="auto"/>
          </w:divBdr>
        </w:div>
        <w:div w:id="905800040">
          <w:marLeft w:val="0"/>
          <w:marRight w:val="0"/>
          <w:marTop w:val="0"/>
          <w:marBottom w:val="0"/>
          <w:divBdr>
            <w:top w:val="none" w:sz="0" w:space="0" w:color="auto"/>
            <w:left w:val="none" w:sz="0" w:space="0" w:color="auto"/>
            <w:bottom w:val="none" w:sz="0" w:space="0" w:color="auto"/>
            <w:right w:val="none" w:sz="0" w:space="0" w:color="auto"/>
          </w:divBdr>
        </w:div>
        <w:div w:id="1572231237">
          <w:marLeft w:val="0"/>
          <w:marRight w:val="0"/>
          <w:marTop w:val="0"/>
          <w:marBottom w:val="0"/>
          <w:divBdr>
            <w:top w:val="none" w:sz="0" w:space="0" w:color="auto"/>
            <w:left w:val="none" w:sz="0" w:space="0" w:color="auto"/>
            <w:bottom w:val="none" w:sz="0" w:space="0" w:color="auto"/>
            <w:right w:val="none" w:sz="0" w:space="0" w:color="auto"/>
          </w:divBdr>
        </w:div>
        <w:div w:id="1752114849">
          <w:marLeft w:val="0"/>
          <w:marRight w:val="0"/>
          <w:marTop w:val="0"/>
          <w:marBottom w:val="0"/>
          <w:divBdr>
            <w:top w:val="none" w:sz="0" w:space="0" w:color="auto"/>
            <w:left w:val="none" w:sz="0" w:space="0" w:color="auto"/>
            <w:bottom w:val="none" w:sz="0" w:space="0" w:color="auto"/>
            <w:right w:val="none" w:sz="0" w:space="0" w:color="auto"/>
          </w:divBdr>
        </w:div>
        <w:div w:id="1999067899">
          <w:marLeft w:val="0"/>
          <w:marRight w:val="0"/>
          <w:marTop w:val="0"/>
          <w:marBottom w:val="0"/>
          <w:divBdr>
            <w:top w:val="none" w:sz="0" w:space="0" w:color="auto"/>
            <w:left w:val="none" w:sz="0" w:space="0" w:color="auto"/>
            <w:bottom w:val="none" w:sz="0" w:space="0" w:color="auto"/>
            <w:right w:val="none" w:sz="0" w:space="0" w:color="auto"/>
          </w:divBdr>
        </w:div>
        <w:div w:id="1852405796">
          <w:marLeft w:val="0"/>
          <w:marRight w:val="0"/>
          <w:marTop w:val="0"/>
          <w:marBottom w:val="0"/>
          <w:divBdr>
            <w:top w:val="none" w:sz="0" w:space="0" w:color="auto"/>
            <w:left w:val="none" w:sz="0" w:space="0" w:color="auto"/>
            <w:bottom w:val="none" w:sz="0" w:space="0" w:color="auto"/>
            <w:right w:val="none" w:sz="0" w:space="0" w:color="auto"/>
          </w:divBdr>
        </w:div>
        <w:div w:id="785581996">
          <w:marLeft w:val="0"/>
          <w:marRight w:val="0"/>
          <w:marTop w:val="0"/>
          <w:marBottom w:val="0"/>
          <w:divBdr>
            <w:top w:val="none" w:sz="0" w:space="0" w:color="auto"/>
            <w:left w:val="none" w:sz="0" w:space="0" w:color="auto"/>
            <w:bottom w:val="none" w:sz="0" w:space="0" w:color="auto"/>
            <w:right w:val="none" w:sz="0" w:space="0" w:color="auto"/>
          </w:divBdr>
        </w:div>
        <w:div w:id="1822186069">
          <w:marLeft w:val="0"/>
          <w:marRight w:val="0"/>
          <w:marTop w:val="0"/>
          <w:marBottom w:val="0"/>
          <w:divBdr>
            <w:top w:val="none" w:sz="0" w:space="0" w:color="auto"/>
            <w:left w:val="none" w:sz="0" w:space="0" w:color="auto"/>
            <w:bottom w:val="none" w:sz="0" w:space="0" w:color="auto"/>
            <w:right w:val="none" w:sz="0" w:space="0" w:color="auto"/>
          </w:divBdr>
        </w:div>
        <w:div w:id="93787676">
          <w:marLeft w:val="0"/>
          <w:marRight w:val="0"/>
          <w:marTop w:val="0"/>
          <w:marBottom w:val="0"/>
          <w:divBdr>
            <w:top w:val="none" w:sz="0" w:space="0" w:color="auto"/>
            <w:left w:val="none" w:sz="0" w:space="0" w:color="auto"/>
            <w:bottom w:val="none" w:sz="0" w:space="0" w:color="auto"/>
            <w:right w:val="none" w:sz="0" w:space="0" w:color="auto"/>
          </w:divBdr>
        </w:div>
        <w:div w:id="1281032233">
          <w:marLeft w:val="0"/>
          <w:marRight w:val="0"/>
          <w:marTop w:val="0"/>
          <w:marBottom w:val="0"/>
          <w:divBdr>
            <w:top w:val="none" w:sz="0" w:space="0" w:color="auto"/>
            <w:left w:val="none" w:sz="0" w:space="0" w:color="auto"/>
            <w:bottom w:val="none" w:sz="0" w:space="0" w:color="auto"/>
            <w:right w:val="none" w:sz="0" w:space="0" w:color="auto"/>
          </w:divBdr>
        </w:div>
        <w:div w:id="662465313">
          <w:marLeft w:val="0"/>
          <w:marRight w:val="0"/>
          <w:marTop w:val="0"/>
          <w:marBottom w:val="0"/>
          <w:divBdr>
            <w:top w:val="none" w:sz="0" w:space="0" w:color="auto"/>
            <w:left w:val="none" w:sz="0" w:space="0" w:color="auto"/>
            <w:bottom w:val="none" w:sz="0" w:space="0" w:color="auto"/>
            <w:right w:val="none" w:sz="0" w:space="0" w:color="auto"/>
          </w:divBdr>
        </w:div>
        <w:div w:id="195578965">
          <w:marLeft w:val="0"/>
          <w:marRight w:val="0"/>
          <w:marTop w:val="0"/>
          <w:marBottom w:val="0"/>
          <w:divBdr>
            <w:top w:val="none" w:sz="0" w:space="0" w:color="auto"/>
            <w:left w:val="none" w:sz="0" w:space="0" w:color="auto"/>
            <w:bottom w:val="none" w:sz="0" w:space="0" w:color="auto"/>
            <w:right w:val="none" w:sz="0" w:space="0" w:color="auto"/>
          </w:divBdr>
        </w:div>
        <w:div w:id="1733117795">
          <w:marLeft w:val="0"/>
          <w:marRight w:val="0"/>
          <w:marTop w:val="0"/>
          <w:marBottom w:val="0"/>
          <w:divBdr>
            <w:top w:val="none" w:sz="0" w:space="0" w:color="auto"/>
            <w:left w:val="none" w:sz="0" w:space="0" w:color="auto"/>
            <w:bottom w:val="none" w:sz="0" w:space="0" w:color="auto"/>
            <w:right w:val="none" w:sz="0" w:space="0" w:color="auto"/>
          </w:divBdr>
        </w:div>
        <w:div w:id="935985821">
          <w:marLeft w:val="0"/>
          <w:marRight w:val="0"/>
          <w:marTop w:val="0"/>
          <w:marBottom w:val="0"/>
          <w:divBdr>
            <w:top w:val="none" w:sz="0" w:space="0" w:color="auto"/>
            <w:left w:val="none" w:sz="0" w:space="0" w:color="auto"/>
            <w:bottom w:val="none" w:sz="0" w:space="0" w:color="auto"/>
            <w:right w:val="none" w:sz="0" w:space="0" w:color="auto"/>
          </w:divBdr>
        </w:div>
        <w:div w:id="1385368433">
          <w:marLeft w:val="0"/>
          <w:marRight w:val="0"/>
          <w:marTop w:val="0"/>
          <w:marBottom w:val="0"/>
          <w:divBdr>
            <w:top w:val="none" w:sz="0" w:space="0" w:color="auto"/>
            <w:left w:val="none" w:sz="0" w:space="0" w:color="auto"/>
            <w:bottom w:val="none" w:sz="0" w:space="0" w:color="auto"/>
            <w:right w:val="none" w:sz="0" w:space="0" w:color="auto"/>
          </w:divBdr>
        </w:div>
        <w:div w:id="1748185661">
          <w:marLeft w:val="0"/>
          <w:marRight w:val="0"/>
          <w:marTop w:val="0"/>
          <w:marBottom w:val="0"/>
          <w:divBdr>
            <w:top w:val="none" w:sz="0" w:space="0" w:color="auto"/>
            <w:left w:val="none" w:sz="0" w:space="0" w:color="auto"/>
            <w:bottom w:val="none" w:sz="0" w:space="0" w:color="auto"/>
            <w:right w:val="none" w:sz="0" w:space="0" w:color="auto"/>
          </w:divBdr>
        </w:div>
        <w:div w:id="1927305203">
          <w:marLeft w:val="0"/>
          <w:marRight w:val="0"/>
          <w:marTop w:val="0"/>
          <w:marBottom w:val="0"/>
          <w:divBdr>
            <w:top w:val="none" w:sz="0" w:space="0" w:color="auto"/>
            <w:left w:val="none" w:sz="0" w:space="0" w:color="auto"/>
            <w:bottom w:val="none" w:sz="0" w:space="0" w:color="auto"/>
            <w:right w:val="none" w:sz="0" w:space="0" w:color="auto"/>
          </w:divBdr>
        </w:div>
        <w:div w:id="415252101">
          <w:marLeft w:val="0"/>
          <w:marRight w:val="0"/>
          <w:marTop w:val="0"/>
          <w:marBottom w:val="0"/>
          <w:divBdr>
            <w:top w:val="none" w:sz="0" w:space="0" w:color="auto"/>
            <w:left w:val="none" w:sz="0" w:space="0" w:color="auto"/>
            <w:bottom w:val="none" w:sz="0" w:space="0" w:color="auto"/>
            <w:right w:val="none" w:sz="0" w:space="0" w:color="auto"/>
          </w:divBdr>
        </w:div>
      </w:divsChild>
    </w:div>
    <w:div w:id="2024041592">
      <w:bodyDiv w:val="1"/>
      <w:marLeft w:val="0"/>
      <w:marRight w:val="0"/>
      <w:marTop w:val="0"/>
      <w:marBottom w:val="0"/>
      <w:divBdr>
        <w:top w:val="none" w:sz="0" w:space="0" w:color="auto"/>
        <w:left w:val="none" w:sz="0" w:space="0" w:color="auto"/>
        <w:bottom w:val="none" w:sz="0" w:space="0" w:color="auto"/>
        <w:right w:val="none" w:sz="0" w:space="0" w:color="auto"/>
      </w:divBdr>
    </w:div>
    <w:div w:id="2092192558">
      <w:bodyDiv w:val="1"/>
      <w:marLeft w:val="0"/>
      <w:marRight w:val="0"/>
      <w:marTop w:val="0"/>
      <w:marBottom w:val="0"/>
      <w:divBdr>
        <w:top w:val="none" w:sz="0" w:space="0" w:color="auto"/>
        <w:left w:val="none" w:sz="0" w:space="0" w:color="auto"/>
        <w:bottom w:val="none" w:sz="0" w:space="0" w:color="auto"/>
        <w:right w:val="none" w:sz="0" w:space="0" w:color="auto"/>
      </w:divBdr>
      <w:divsChild>
        <w:div w:id="1477448729">
          <w:marLeft w:val="0"/>
          <w:marRight w:val="0"/>
          <w:marTop w:val="0"/>
          <w:marBottom w:val="0"/>
          <w:divBdr>
            <w:top w:val="none" w:sz="0" w:space="0" w:color="auto"/>
            <w:left w:val="none" w:sz="0" w:space="0" w:color="auto"/>
            <w:bottom w:val="none" w:sz="0" w:space="0" w:color="auto"/>
            <w:right w:val="none" w:sz="0" w:space="0" w:color="auto"/>
          </w:divBdr>
        </w:div>
        <w:div w:id="371930156">
          <w:marLeft w:val="0"/>
          <w:marRight w:val="0"/>
          <w:marTop w:val="0"/>
          <w:marBottom w:val="0"/>
          <w:divBdr>
            <w:top w:val="none" w:sz="0" w:space="0" w:color="auto"/>
            <w:left w:val="none" w:sz="0" w:space="0" w:color="auto"/>
            <w:bottom w:val="none" w:sz="0" w:space="0" w:color="auto"/>
            <w:right w:val="none" w:sz="0" w:space="0" w:color="auto"/>
          </w:divBdr>
        </w:div>
        <w:div w:id="16583160">
          <w:marLeft w:val="0"/>
          <w:marRight w:val="0"/>
          <w:marTop w:val="0"/>
          <w:marBottom w:val="0"/>
          <w:divBdr>
            <w:top w:val="none" w:sz="0" w:space="0" w:color="auto"/>
            <w:left w:val="none" w:sz="0" w:space="0" w:color="auto"/>
            <w:bottom w:val="none" w:sz="0" w:space="0" w:color="auto"/>
            <w:right w:val="none" w:sz="0" w:space="0" w:color="auto"/>
          </w:divBdr>
        </w:div>
        <w:div w:id="18954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pitalregional.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pitalregion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ction.com/english.php"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fondactio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5393-F99D-49F8-8F34-AEF1CCFB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4333</Words>
  <Characters>24656</Characters>
  <Application>Microsoft Office Word</Application>
  <DocSecurity>0</DocSecurity>
  <Lines>1232</Lines>
  <Paragraphs>527</Paragraphs>
  <ScaleCrop>false</ScaleCrop>
  <HeadingPairs>
    <vt:vector size="2" baseType="variant">
      <vt:variant>
        <vt:lpstr>Title</vt:lpstr>
      </vt:variant>
      <vt:variant>
        <vt:i4>1</vt:i4>
      </vt:variant>
    </vt:vector>
  </HeadingPairs>
  <TitlesOfParts>
    <vt:vector size="1" baseType="lpstr">
      <vt:lpstr/>
    </vt:vector>
  </TitlesOfParts>
  <Company>System User</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Amsden</dc:creator>
  <cp:lastModifiedBy>Barb Amsden</cp:lastModifiedBy>
  <cp:revision>3</cp:revision>
  <cp:lastPrinted>2018-02-01T16:40:00Z</cp:lastPrinted>
  <dcterms:created xsi:type="dcterms:W3CDTF">2022-08-01T12:33:00Z</dcterms:created>
  <dcterms:modified xsi:type="dcterms:W3CDTF">2022-08-01T12:33:00Z</dcterms:modified>
</cp:coreProperties>
</file>