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2FD5" w14:textId="77777777" w:rsidR="00EA5B8C" w:rsidRPr="00081F0B" w:rsidRDefault="00EA5B8C" w:rsidP="00CF7DDE">
      <w:pPr>
        <w:spacing w:line="240" w:lineRule="auto"/>
        <w:jc w:val="center"/>
        <w:rPr>
          <w:rFonts w:cs="Arial"/>
          <w:b/>
          <w:sz w:val="28"/>
          <w:szCs w:val="28"/>
        </w:rPr>
      </w:pPr>
    </w:p>
    <w:p w14:paraId="3B8969F3" w14:textId="77777777" w:rsidR="00B075B5" w:rsidRPr="002A2803" w:rsidRDefault="00B075B5" w:rsidP="00CF7DDE">
      <w:pPr>
        <w:spacing w:line="240" w:lineRule="auto"/>
        <w:jc w:val="center"/>
        <w:rPr>
          <w:rFonts w:cs="Arial"/>
          <w:sz w:val="40"/>
          <w:szCs w:val="40"/>
        </w:rPr>
      </w:pPr>
    </w:p>
    <w:p w14:paraId="21B25F27" w14:textId="77777777" w:rsidR="00B075B5" w:rsidRPr="002A2803" w:rsidRDefault="00B075B5" w:rsidP="00CF7DDE">
      <w:pPr>
        <w:spacing w:line="240" w:lineRule="auto"/>
        <w:jc w:val="center"/>
        <w:rPr>
          <w:rFonts w:cs="Arial"/>
          <w:sz w:val="40"/>
          <w:szCs w:val="40"/>
        </w:rPr>
      </w:pPr>
      <w:r w:rsidRPr="002A2803">
        <w:rPr>
          <w:rFonts w:cs="Arial"/>
          <w:noProof/>
        </w:rPr>
        <w:drawing>
          <wp:anchor distT="0" distB="0" distL="114300" distR="114300" simplePos="0" relativeHeight="251659264" behindDoc="1" locked="0" layoutInCell="1" allowOverlap="1" wp14:anchorId="4A37CEAB" wp14:editId="5A0051AF">
            <wp:simplePos x="0" y="0"/>
            <wp:positionH relativeFrom="margin">
              <wp:align>center</wp:align>
            </wp:positionH>
            <wp:positionV relativeFrom="paragraph">
              <wp:posOffset>26035</wp:posOffset>
            </wp:positionV>
            <wp:extent cx="4398010" cy="10680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98010" cy="1068070"/>
                    </a:xfrm>
                    <a:prstGeom prst="rect">
                      <a:avLst/>
                    </a:prstGeom>
                  </pic:spPr>
                </pic:pic>
              </a:graphicData>
            </a:graphic>
            <wp14:sizeRelH relativeFrom="margin">
              <wp14:pctWidth>0</wp14:pctWidth>
            </wp14:sizeRelH>
            <wp14:sizeRelV relativeFrom="margin">
              <wp14:pctHeight>0</wp14:pctHeight>
            </wp14:sizeRelV>
          </wp:anchor>
        </w:drawing>
      </w:r>
    </w:p>
    <w:p w14:paraId="52F926C5" w14:textId="77777777" w:rsidR="00B075B5" w:rsidRPr="002A2803" w:rsidRDefault="00B075B5" w:rsidP="00CF7DDE">
      <w:pPr>
        <w:spacing w:line="240" w:lineRule="auto"/>
        <w:jc w:val="center"/>
        <w:rPr>
          <w:rFonts w:cs="Arial"/>
          <w:sz w:val="40"/>
          <w:szCs w:val="40"/>
        </w:rPr>
      </w:pPr>
    </w:p>
    <w:p w14:paraId="3B5137F9" w14:textId="77777777" w:rsidR="00B075B5" w:rsidRPr="002A2803" w:rsidRDefault="00B075B5" w:rsidP="00CF7DDE">
      <w:pPr>
        <w:spacing w:line="240" w:lineRule="auto"/>
        <w:jc w:val="center"/>
        <w:rPr>
          <w:rFonts w:cs="Arial"/>
          <w:sz w:val="40"/>
          <w:szCs w:val="40"/>
        </w:rPr>
      </w:pPr>
    </w:p>
    <w:p w14:paraId="35DD0E38" w14:textId="77777777" w:rsidR="00B075B5" w:rsidRPr="002A2803" w:rsidRDefault="00B075B5" w:rsidP="00CF7DDE">
      <w:pPr>
        <w:spacing w:line="240" w:lineRule="auto"/>
        <w:jc w:val="center"/>
        <w:rPr>
          <w:rFonts w:cs="Arial"/>
          <w:sz w:val="40"/>
          <w:szCs w:val="40"/>
        </w:rPr>
      </w:pPr>
    </w:p>
    <w:p w14:paraId="7C774E1C" w14:textId="77777777" w:rsidR="00B075B5" w:rsidRPr="002A2803" w:rsidRDefault="00B075B5" w:rsidP="00CF7DDE">
      <w:pPr>
        <w:spacing w:line="240" w:lineRule="auto"/>
        <w:jc w:val="center"/>
        <w:rPr>
          <w:rFonts w:cs="Arial"/>
          <w:sz w:val="40"/>
          <w:szCs w:val="40"/>
        </w:rPr>
      </w:pPr>
    </w:p>
    <w:p w14:paraId="07FC8B3A" w14:textId="77777777" w:rsidR="00B075B5" w:rsidRPr="002A2803" w:rsidRDefault="00B075B5" w:rsidP="00CF7DDE">
      <w:pPr>
        <w:spacing w:line="240" w:lineRule="auto"/>
        <w:jc w:val="center"/>
        <w:rPr>
          <w:rFonts w:cs="Arial"/>
          <w:sz w:val="40"/>
          <w:szCs w:val="40"/>
        </w:rPr>
      </w:pPr>
    </w:p>
    <w:p w14:paraId="7E75D7B4" w14:textId="77777777" w:rsidR="00B075B5" w:rsidRDefault="00B075B5" w:rsidP="00CF7DDE">
      <w:pPr>
        <w:spacing w:line="240" w:lineRule="auto"/>
        <w:jc w:val="center"/>
        <w:rPr>
          <w:rFonts w:cs="Arial"/>
          <w:b/>
          <w:sz w:val="52"/>
          <w:szCs w:val="52"/>
        </w:rPr>
      </w:pPr>
      <w:r>
        <w:rPr>
          <w:rFonts w:cs="Arial"/>
          <w:b/>
          <w:sz w:val="52"/>
          <w:szCs w:val="52"/>
        </w:rPr>
        <w:t xml:space="preserve">Settlement Optimization: </w:t>
      </w:r>
    </w:p>
    <w:p w14:paraId="09E117F8" w14:textId="786B1F3A" w:rsidR="00B075B5" w:rsidRPr="002A2803" w:rsidRDefault="001A5BE3" w:rsidP="00CF7DDE">
      <w:pPr>
        <w:spacing w:line="240" w:lineRule="auto"/>
        <w:jc w:val="center"/>
        <w:rPr>
          <w:rFonts w:cs="Arial"/>
          <w:b/>
          <w:sz w:val="52"/>
          <w:szCs w:val="52"/>
        </w:rPr>
      </w:pPr>
      <w:r>
        <w:rPr>
          <w:rFonts w:cs="Arial"/>
          <w:b/>
          <w:sz w:val="52"/>
          <w:szCs w:val="52"/>
        </w:rPr>
        <w:t>Recommendation</w:t>
      </w:r>
      <w:r w:rsidR="00144B36">
        <w:rPr>
          <w:rFonts w:cs="Arial"/>
          <w:b/>
          <w:sz w:val="52"/>
          <w:szCs w:val="52"/>
        </w:rPr>
        <w:t xml:space="preserve"> </w:t>
      </w:r>
      <w:r w:rsidR="00B075B5">
        <w:rPr>
          <w:rFonts w:cs="Arial"/>
          <w:b/>
          <w:sz w:val="52"/>
          <w:szCs w:val="52"/>
        </w:rPr>
        <w:t xml:space="preserve">to </w:t>
      </w:r>
      <w:r w:rsidR="00B220B8">
        <w:rPr>
          <w:rFonts w:cs="Arial"/>
          <w:b/>
          <w:sz w:val="52"/>
          <w:szCs w:val="52"/>
        </w:rPr>
        <w:t>CDS</w:t>
      </w:r>
    </w:p>
    <w:p w14:paraId="1B613713" w14:textId="77777777" w:rsidR="00B075B5" w:rsidRPr="002A2803" w:rsidRDefault="00B075B5" w:rsidP="00CF7DDE">
      <w:pPr>
        <w:spacing w:line="240" w:lineRule="auto"/>
        <w:jc w:val="center"/>
        <w:rPr>
          <w:rFonts w:cs="Arial"/>
          <w:i/>
          <w:sz w:val="20"/>
          <w:szCs w:val="20"/>
        </w:rPr>
      </w:pPr>
    </w:p>
    <w:p w14:paraId="7B8A8D4B" w14:textId="50F20286" w:rsidR="00B075B5" w:rsidRPr="00BB05F5" w:rsidRDefault="00B075B5" w:rsidP="00CF7DDE">
      <w:pPr>
        <w:spacing w:line="240" w:lineRule="auto"/>
        <w:jc w:val="center"/>
        <w:rPr>
          <w:rFonts w:cs="Arial"/>
          <w:b/>
          <w:i/>
          <w:sz w:val="36"/>
          <w:szCs w:val="36"/>
        </w:rPr>
      </w:pPr>
      <w:r>
        <w:rPr>
          <w:rFonts w:cs="Arial"/>
          <w:b/>
          <w:i/>
          <w:sz w:val="36"/>
          <w:szCs w:val="36"/>
        </w:rPr>
        <w:t xml:space="preserve">Date </w:t>
      </w:r>
      <w:r w:rsidR="00B220B8">
        <w:rPr>
          <w:rFonts w:cs="Arial"/>
          <w:b/>
          <w:i/>
          <w:sz w:val="36"/>
          <w:szCs w:val="36"/>
        </w:rPr>
        <w:t>March 23</w:t>
      </w:r>
      <w:r w:rsidRPr="00BB05F5">
        <w:rPr>
          <w:rFonts w:cs="Arial"/>
          <w:b/>
          <w:i/>
          <w:sz w:val="36"/>
          <w:szCs w:val="36"/>
        </w:rPr>
        <w:t>, 201</w:t>
      </w:r>
      <w:r>
        <w:rPr>
          <w:rFonts w:cs="Arial"/>
          <w:b/>
          <w:i/>
          <w:sz w:val="36"/>
          <w:szCs w:val="36"/>
        </w:rPr>
        <w:t>9</w:t>
      </w:r>
      <w:r w:rsidR="00D66FBD">
        <w:rPr>
          <w:rFonts w:cs="Arial"/>
          <w:b/>
          <w:i/>
          <w:sz w:val="36"/>
          <w:szCs w:val="36"/>
        </w:rPr>
        <w:t xml:space="preserve"> </w:t>
      </w:r>
    </w:p>
    <w:p w14:paraId="0D5B7BB2" w14:textId="77777777" w:rsidR="00B075B5" w:rsidRPr="002A2803" w:rsidRDefault="00B075B5" w:rsidP="00CF7DDE">
      <w:pPr>
        <w:spacing w:line="240" w:lineRule="auto"/>
        <w:jc w:val="center"/>
        <w:rPr>
          <w:rFonts w:cs="Arial"/>
          <w:i/>
          <w:sz w:val="20"/>
          <w:szCs w:val="20"/>
        </w:rPr>
      </w:pPr>
    </w:p>
    <w:p w14:paraId="09A5227A" w14:textId="77777777" w:rsidR="00B075B5" w:rsidRPr="003F66A1" w:rsidRDefault="00B075B5" w:rsidP="00CF7DDE">
      <w:pPr>
        <w:pStyle w:val="ListParagraph"/>
        <w:spacing w:line="240" w:lineRule="auto"/>
        <w:ind w:left="0"/>
        <w:jc w:val="center"/>
      </w:pPr>
    </w:p>
    <w:p w14:paraId="1F284863" w14:textId="77777777" w:rsidR="00B075B5" w:rsidRPr="003F66A1" w:rsidRDefault="00B075B5" w:rsidP="00CF7DDE">
      <w:pPr>
        <w:spacing w:line="240" w:lineRule="auto"/>
        <w:jc w:val="center"/>
        <w:rPr>
          <w:rFonts w:cs="Arial"/>
          <w:i/>
          <w:sz w:val="20"/>
          <w:szCs w:val="20"/>
        </w:rPr>
      </w:pPr>
    </w:p>
    <w:p w14:paraId="676DBBEE" w14:textId="77777777" w:rsidR="00B075B5" w:rsidRPr="003F66A1" w:rsidRDefault="00B075B5" w:rsidP="00CF7DDE">
      <w:pPr>
        <w:spacing w:line="240" w:lineRule="auto"/>
        <w:jc w:val="center"/>
        <w:rPr>
          <w:rFonts w:cs="Arial"/>
          <w:i/>
          <w:sz w:val="20"/>
          <w:szCs w:val="20"/>
        </w:rPr>
      </w:pPr>
    </w:p>
    <w:p w14:paraId="77CF7B9D" w14:textId="77777777" w:rsidR="00B075B5" w:rsidRPr="003F66A1" w:rsidRDefault="00B075B5" w:rsidP="00CF7DDE">
      <w:pPr>
        <w:spacing w:line="240" w:lineRule="auto"/>
        <w:jc w:val="center"/>
        <w:rPr>
          <w:rFonts w:cs="Arial"/>
          <w:i/>
          <w:sz w:val="20"/>
          <w:szCs w:val="20"/>
        </w:rPr>
      </w:pPr>
    </w:p>
    <w:p w14:paraId="6DC63449" w14:textId="77777777" w:rsidR="00B075B5" w:rsidRPr="003F66A1" w:rsidRDefault="00B075B5" w:rsidP="00CF7DDE">
      <w:pPr>
        <w:spacing w:line="240" w:lineRule="auto"/>
        <w:jc w:val="center"/>
        <w:rPr>
          <w:rFonts w:cs="Arial"/>
          <w:i/>
          <w:sz w:val="20"/>
          <w:szCs w:val="20"/>
        </w:rPr>
      </w:pPr>
    </w:p>
    <w:p w14:paraId="67D0D744" w14:textId="77777777" w:rsidR="00B075B5" w:rsidRPr="003F66A1" w:rsidRDefault="00B075B5" w:rsidP="00CF7DDE">
      <w:pPr>
        <w:spacing w:line="240" w:lineRule="auto"/>
        <w:jc w:val="center"/>
        <w:rPr>
          <w:rFonts w:cs="Arial"/>
          <w:i/>
          <w:sz w:val="20"/>
          <w:szCs w:val="20"/>
        </w:rPr>
      </w:pPr>
    </w:p>
    <w:p w14:paraId="51DF4A8E" w14:textId="77777777" w:rsidR="00B075B5" w:rsidRPr="003F66A1" w:rsidRDefault="00B075B5" w:rsidP="00CF7DDE">
      <w:pPr>
        <w:spacing w:line="240" w:lineRule="auto"/>
        <w:jc w:val="center"/>
        <w:rPr>
          <w:rFonts w:cs="Arial"/>
          <w:i/>
          <w:sz w:val="20"/>
          <w:szCs w:val="20"/>
        </w:rPr>
      </w:pPr>
    </w:p>
    <w:p w14:paraId="7E3C1747" w14:textId="77777777" w:rsidR="00B075B5" w:rsidRPr="003F66A1" w:rsidRDefault="00B075B5" w:rsidP="00CF7DDE">
      <w:pPr>
        <w:spacing w:line="240" w:lineRule="auto"/>
        <w:jc w:val="center"/>
        <w:rPr>
          <w:rFonts w:cs="Arial"/>
          <w:i/>
          <w:sz w:val="20"/>
          <w:szCs w:val="20"/>
        </w:rPr>
      </w:pPr>
    </w:p>
    <w:p w14:paraId="6255FBFF" w14:textId="77777777" w:rsidR="00B075B5" w:rsidRPr="003F66A1" w:rsidRDefault="00B075B5" w:rsidP="00CF7DDE">
      <w:pPr>
        <w:spacing w:line="240" w:lineRule="auto"/>
        <w:jc w:val="center"/>
        <w:rPr>
          <w:rFonts w:cs="Arial"/>
          <w:i/>
          <w:sz w:val="20"/>
          <w:szCs w:val="20"/>
        </w:rPr>
      </w:pPr>
    </w:p>
    <w:p w14:paraId="17B1538F" w14:textId="77777777" w:rsidR="00B075B5" w:rsidRPr="003F66A1" w:rsidRDefault="00B075B5" w:rsidP="00CF7DDE">
      <w:pPr>
        <w:spacing w:line="240" w:lineRule="auto"/>
        <w:jc w:val="center"/>
        <w:rPr>
          <w:rFonts w:cs="Arial"/>
          <w:i/>
          <w:sz w:val="20"/>
          <w:szCs w:val="20"/>
        </w:rPr>
      </w:pPr>
    </w:p>
    <w:p w14:paraId="08DF5A56" w14:textId="3689562C" w:rsidR="00B075B5" w:rsidRDefault="00B075B5" w:rsidP="00CF7DDE">
      <w:pPr>
        <w:spacing w:line="240" w:lineRule="auto"/>
        <w:jc w:val="center"/>
        <w:rPr>
          <w:rFonts w:cs="Arial"/>
          <w:i/>
          <w:sz w:val="20"/>
          <w:szCs w:val="20"/>
        </w:rPr>
      </w:pPr>
    </w:p>
    <w:p w14:paraId="4DBBA987" w14:textId="361331B1" w:rsidR="004B73C7" w:rsidRDefault="004B73C7" w:rsidP="00CF7DDE">
      <w:pPr>
        <w:spacing w:line="240" w:lineRule="auto"/>
        <w:jc w:val="center"/>
        <w:rPr>
          <w:rFonts w:cs="Arial"/>
          <w:i/>
          <w:sz w:val="20"/>
          <w:szCs w:val="20"/>
        </w:rPr>
      </w:pPr>
    </w:p>
    <w:p w14:paraId="196613F7" w14:textId="77777777" w:rsidR="004B73C7" w:rsidRPr="003F66A1" w:rsidRDefault="004B73C7" w:rsidP="00CF7DDE">
      <w:pPr>
        <w:spacing w:line="240" w:lineRule="auto"/>
        <w:jc w:val="center"/>
        <w:rPr>
          <w:rFonts w:cs="Arial"/>
          <w:i/>
          <w:sz w:val="20"/>
          <w:szCs w:val="20"/>
        </w:rPr>
      </w:pPr>
    </w:p>
    <w:p w14:paraId="7B99505B" w14:textId="77777777" w:rsidR="00B075B5" w:rsidRPr="003F66A1" w:rsidRDefault="00B075B5" w:rsidP="00CF7DDE">
      <w:pPr>
        <w:spacing w:line="240" w:lineRule="auto"/>
        <w:jc w:val="center"/>
        <w:rPr>
          <w:rFonts w:cs="Arial"/>
          <w:i/>
          <w:sz w:val="20"/>
          <w:szCs w:val="20"/>
        </w:rPr>
      </w:pPr>
    </w:p>
    <w:p w14:paraId="43ACBF53" w14:textId="77777777" w:rsidR="00B075B5" w:rsidRPr="003F66A1" w:rsidRDefault="00B075B5" w:rsidP="00CF7DDE">
      <w:pPr>
        <w:spacing w:line="240" w:lineRule="auto"/>
        <w:jc w:val="center"/>
        <w:rPr>
          <w:rFonts w:cs="Arial"/>
          <w:i/>
          <w:sz w:val="20"/>
          <w:szCs w:val="20"/>
        </w:rPr>
      </w:pPr>
    </w:p>
    <w:p w14:paraId="5534AE30" w14:textId="77777777" w:rsidR="00B075B5" w:rsidRDefault="00B075B5" w:rsidP="00CF7DDE">
      <w:pPr>
        <w:spacing w:line="240" w:lineRule="auto"/>
        <w:jc w:val="center"/>
        <w:rPr>
          <w:rFonts w:cs="Arial"/>
          <w:i/>
          <w:sz w:val="20"/>
          <w:szCs w:val="20"/>
        </w:rPr>
      </w:pPr>
    </w:p>
    <w:p w14:paraId="610B5BE0" w14:textId="77777777" w:rsidR="00B075B5" w:rsidRDefault="00B075B5" w:rsidP="00CF7DDE">
      <w:pPr>
        <w:spacing w:line="240" w:lineRule="auto"/>
        <w:jc w:val="center"/>
        <w:rPr>
          <w:rFonts w:cs="Arial"/>
          <w:i/>
          <w:sz w:val="20"/>
          <w:szCs w:val="20"/>
        </w:rPr>
      </w:pPr>
    </w:p>
    <w:p w14:paraId="26DA4D08" w14:textId="77777777" w:rsidR="00B075B5" w:rsidRDefault="00B075B5" w:rsidP="00CF7DDE">
      <w:pPr>
        <w:spacing w:line="240" w:lineRule="auto"/>
        <w:jc w:val="center"/>
        <w:rPr>
          <w:rFonts w:cs="Arial"/>
          <w:i/>
          <w:sz w:val="24"/>
          <w:szCs w:val="24"/>
        </w:rPr>
      </w:pPr>
    </w:p>
    <w:p w14:paraId="1FC9EB73" w14:textId="77777777" w:rsidR="00B075B5" w:rsidRDefault="00B075B5" w:rsidP="00CF7DDE">
      <w:pPr>
        <w:spacing w:line="240" w:lineRule="auto"/>
        <w:jc w:val="center"/>
        <w:rPr>
          <w:rFonts w:cs="Arial"/>
          <w:i/>
          <w:sz w:val="24"/>
          <w:szCs w:val="24"/>
        </w:rPr>
      </w:pPr>
    </w:p>
    <w:p w14:paraId="205A4F74" w14:textId="77777777" w:rsidR="00B075B5" w:rsidRPr="003F66A1" w:rsidRDefault="00B075B5" w:rsidP="00CF7DDE">
      <w:pPr>
        <w:spacing w:line="240" w:lineRule="auto"/>
        <w:jc w:val="center"/>
        <w:rPr>
          <w:rFonts w:cs="Arial"/>
          <w:i/>
          <w:sz w:val="24"/>
          <w:szCs w:val="24"/>
        </w:rPr>
      </w:pPr>
    </w:p>
    <w:p w14:paraId="5DA27794" w14:textId="77777777" w:rsidR="002037E4" w:rsidRDefault="00144B36" w:rsidP="00CF7DDE">
      <w:pPr>
        <w:spacing w:line="240" w:lineRule="auto"/>
        <w:jc w:val="center"/>
        <w:rPr>
          <w:rFonts w:cs="Arial"/>
          <w:i/>
          <w:sz w:val="24"/>
          <w:szCs w:val="24"/>
        </w:rPr>
      </w:pPr>
      <w:r>
        <w:rPr>
          <w:rFonts w:cs="Arial"/>
          <w:i/>
          <w:sz w:val="24"/>
          <w:szCs w:val="24"/>
        </w:rPr>
        <w:t xml:space="preserve">Written by the </w:t>
      </w:r>
      <w:r w:rsidR="00B075B5" w:rsidRPr="00144B36">
        <w:rPr>
          <w:rFonts w:cs="Arial"/>
          <w:i/>
          <w:sz w:val="24"/>
          <w:szCs w:val="24"/>
        </w:rPr>
        <w:t>Canadian Capital Markets Association (CCMA)</w:t>
      </w:r>
      <w:r w:rsidRPr="00144B36">
        <w:rPr>
          <w:rFonts w:cs="Arial"/>
          <w:i/>
          <w:sz w:val="24"/>
          <w:szCs w:val="24"/>
        </w:rPr>
        <w:t xml:space="preserve"> </w:t>
      </w:r>
    </w:p>
    <w:p w14:paraId="74679928" w14:textId="418C13E7" w:rsidR="00B075B5" w:rsidRPr="00144B36" w:rsidRDefault="00144B36" w:rsidP="00CF7DDE">
      <w:pPr>
        <w:spacing w:line="240" w:lineRule="auto"/>
        <w:jc w:val="center"/>
        <w:rPr>
          <w:rFonts w:cs="Arial"/>
          <w:i/>
          <w:sz w:val="24"/>
          <w:szCs w:val="24"/>
        </w:rPr>
      </w:pPr>
      <w:r w:rsidRPr="00144B36">
        <w:rPr>
          <w:rFonts w:cs="Arial"/>
          <w:i/>
          <w:sz w:val="24"/>
          <w:szCs w:val="24"/>
        </w:rPr>
        <w:t xml:space="preserve">on behalf of the </w:t>
      </w:r>
      <w:r w:rsidR="008B10EB">
        <w:rPr>
          <w:rFonts w:cs="Arial"/>
          <w:i/>
          <w:sz w:val="24"/>
          <w:szCs w:val="24"/>
        </w:rPr>
        <w:t>participants of CDS.</w:t>
      </w:r>
    </w:p>
    <w:p w14:paraId="456B8E1D" w14:textId="6546BAE5" w:rsidR="00B075B5" w:rsidRPr="00144B36" w:rsidRDefault="00B075B5" w:rsidP="00CF7DDE">
      <w:pPr>
        <w:spacing w:line="240" w:lineRule="auto"/>
        <w:rPr>
          <w:rFonts w:cs="Arial"/>
          <w:i/>
          <w:sz w:val="24"/>
          <w:szCs w:val="24"/>
        </w:rPr>
      </w:pPr>
    </w:p>
    <w:p w14:paraId="5D4F95A2" w14:textId="104B8065" w:rsidR="00EE144C" w:rsidRPr="00081F0B" w:rsidRDefault="00EE144C" w:rsidP="00CF7DDE">
      <w:pPr>
        <w:spacing w:line="240" w:lineRule="auto"/>
        <w:jc w:val="center"/>
        <w:rPr>
          <w:rFonts w:cs="Arial"/>
          <w:b/>
          <w:sz w:val="28"/>
          <w:szCs w:val="28"/>
        </w:rPr>
      </w:pPr>
    </w:p>
    <w:p w14:paraId="2C8BF789" w14:textId="77777777" w:rsidR="002061D3" w:rsidRDefault="002061D3" w:rsidP="00CF7DDE">
      <w:pPr>
        <w:spacing w:after="160" w:line="240" w:lineRule="auto"/>
        <w:rPr>
          <w:rFonts w:eastAsia="Times New Roman" w:cs="Arial"/>
          <w:sz w:val="24"/>
          <w:szCs w:val="24"/>
        </w:rPr>
        <w:sectPr w:rsidR="002061D3" w:rsidSect="00152C85">
          <w:headerReference w:type="default" r:id="rId9"/>
          <w:footerReference w:type="default" r:id="rId10"/>
          <w:pgSz w:w="12240" w:h="15840"/>
          <w:pgMar w:top="1440" w:right="1440" w:bottom="1440" w:left="1440" w:header="720" w:footer="720" w:gutter="0"/>
          <w:pgBorders w:display="firstPage"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pPr>
    </w:p>
    <w:sdt>
      <w:sdtPr>
        <w:rPr>
          <w:rFonts w:eastAsiaTheme="minorHAnsi" w:cstheme="minorBidi"/>
          <w:b w:val="0"/>
          <w:sz w:val="22"/>
          <w:szCs w:val="22"/>
        </w:rPr>
        <w:id w:val="-1632392424"/>
        <w:docPartObj>
          <w:docPartGallery w:val="Table of Contents"/>
          <w:docPartUnique/>
        </w:docPartObj>
      </w:sdtPr>
      <w:sdtEndPr>
        <w:rPr>
          <w:bCs/>
          <w:noProof/>
        </w:rPr>
      </w:sdtEndPr>
      <w:sdtContent>
        <w:bookmarkStart w:id="0" w:name="_Toc5169402" w:displacedByCustomXml="prev"/>
        <w:bookmarkEnd w:id="0" w:displacedByCustomXml="prev"/>
        <w:p w14:paraId="3CF83728" w14:textId="77777777" w:rsidR="00D052A4" w:rsidRDefault="00D052A4" w:rsidP="00D866DB">
          <w:pPr>
            <w:pStyle w:val="Heading1"/>
            <w:rPr>
              <w:rFonts w:eastAsiaTheme="minorHAnsi"/>
            </w:rPr>
          </w:pPr>
        </w:p>
        <w:p w14:paraId="77F4D9D2" w14:textId="77777777" w:rsidR="00D866DB" w:rsidRDefault="00D866DB" w:rsidP="00D866DB">
          <w:pPr>
            <w:pStyle w:val="Heading1"/>
          </w:pPr>
          <w:bookmarkStart w:id="1" w:name="_Toc5169403"/>
        </w:p>
        <w:p w14:paraId="6B6010FD" w14:textId="77777777" w:rsidR="00D866DB" w:rsidRDefault="00D866DB" w:rsidP="00D866DB">
          <w:pPr>
            <w:pStyle w:val="Heading1"/>
          </w:pPr>
        </w:p>
        <w:p w14:paraId="2C7EAA48" w14:textId="0755385E" w:rsidR="00F63407" w:rsidRPr="00D866DB" w:rsidRDefault="00F63407">
          <w:pPr>
            <w:pStyle w:val="Heading1"/>
          </w:pPr>
          <w:r w:rsidRPr="00D866DB">
            <w:t>Table of Contents</w:t>
          </w:r>
          <w:bookmarkEnd w:id="1"/>
        </w:p>
        <w:p w14:paraId="099B32B8" w14:textId="77777777" w:rsidR="00334E15" w:rsidRPr="00334E15" w:rsidRDefault="00334E15" w:rsidP="00CF7DDE">
          <w:pPr>
            <w:spacing w:line="240" w:lineRule="auto"/>
          </w:pPr>
        </w:p>
        <w:p w14:paraId="76B40640" w14:textId="13FEABF7" w:rsidR="00674298" w:rsidRPr="00D5230A" w:rsidRDefault="00F63407" w:rsidP="008B3831">
          <w:pPr>
            <w:pStyle w:val="TOC1"/>
            <w:rPr>
              <w:rFonts w:asciiTheme="minorHAnsi" w:eastAsiaTheme="minorEastAsia" w:hAnsiTheme="minorHAnsi"/>
            </w:rPr>
          </w:pPr>
          <w:r>
            <w:rPr>
              <w:bCs/>
            </w:rPr>
            <w:fldChar w:fldCharType="begin"/>
          </w:r>
          <w:r w:rsidRPr="00D5230A">
            <w:rPr>
              <w:bCs/>
            </w:rPr>
            <w:instrText xml:space="preserve"> TOC \o "1-3" \h \z \u </w:instrText>
          </w:r>
          <w:r>
            <w:rPr>
              <w:bCs/>
            </w:rPr>
            <w:fldChar w:fldCharType="separate"/>
          </w:r>
          <w:hyperlink w:anchor="_Toc5169404" w:history="1">
            <w:r w:rsidR="00674298" w:rsidRPr="00143160">
              <w:rPr>
                <w:rStyle w:val="Hyperlink"/>
              </w:rPr>
              <w:t>Introduction</w:t>
            </w:r>
            <w:r w:rsidR="00674298">
              <w:rPr>
                <w:webHidden/>
              </w:rPr>
              <w:tab/>
            </w:r>
            <w:r w:rsidR="00674298">
              <w:rPr>
                <w:webHidden/>
              </w:rPr>
              <w:fldChar w:fldCharType="begin"/>
            </w:r>
            <w:r w:rsidR="00674298">
              <w:rPr>
                <w:webHidden/>
              </w:rPr>
              <w:instrText xml:space="preserve"> PAGEREF _Toc5169404 \h </w:instrText>
            </w:r>
            <w:r w:rsidR="00674298">
              <w:rPr>
                <w:webHidden/>
              </w:rPr>
            </w:r>
            <w:r w:rsidR="00674298">
              <w:rPr>
                <w:webHidden/>
              </w:rPr>
              <w:fldChar w:fldCharType="separate"/>
            </w:r>
            <w:r w:rsidR="00711B5E">
              <w:rPr>
                <w:webHidden/>
              </w:rPr>
              <w:t>1</w:t>
            </w:r>
            <w:r w:rsidR="00674298">
              <w:rPr>
                <w:webHidden/>
              </w:rPr>
              <w:fldChar w:fldCharType="end"/>
            </w:r>
          </w:hyperlink>
        </w:p>
        <w:p w14:paraId="7360C599" w14:textId="2A72F610" w:rsidR="00674298" w:rsidRDefault="007F2645" w:rsidP="008B3831">
          <w:pPr>
            <w:pStyle w:val="TOC1"/>
            <w:rPr>
              <w:rFonts w:asciiTheme="minorHAnsi" w:eastAsiaTheme="minorEastAsia" w:hAnsiTheme="minorHAnsi"/>
            </w:rPr>
          </w:pPr>
          <w:hyperlink w:anchor="_Toc5169405" w:history="1">
            <w:r w:rsidR="00674298" w:rsidRPr="00143160">
              <w:rPr>
                <w:rStyle w:val="Hyperlink"/>
              </w:rPr>
              <w:t>Background</w:t>
            </w:r>
            <w:r w:rsidR="00674298">
              <w:rPr>
                <w:webHidden/>
              </w:rPr>
              <w:tab/>
            </w:r>
            <w:r w:rsidR="00674298">
              <w:rPr>
                <w:webHidden/>
              </w:rPr>
              <w:fldChar w:fldCharType="begin"/>
            </w:r>
            <w:r w:rsidR="00674298">
              <w:rPr>
                <w:webHidden/>
              </w:rPr>
              <w:instrText xml:space="preserve"> PAGEREF _Toc5169405 \h </w:instrText>
            </w:r>
            <w:r w:rsidR="00674298">
              <w:rPr>
                <w:webHidden/>
              </w:rPr>
            </w:r>
            <w:r w:rsidR="00674298">
              <w:rPr>
                <w:webHidden/>
              </w:rPr>
              <w:fldChar w:fldCharType="separate"/>
            </w:r>
            <w:r w:rsidR="00711B5E">
              <w:rPr>
                <w:webHidden/>
              </w:rPr>
              <w:t>2</w:t>
            </w:r>
            <w:r w:rsidR="00674298">
              <w:rPr>
                <w:webHidden/>
              </w:rPr>
              <w:fldChar w:fldCharType="end"/>
            </w:r>
          </w:hyperlink>
        </w:p>
        <w:p w14:paraId="628984A1" w14:textId="70B723AA" w:rsidR="00674298" w:rsidRDefault="007F2645">
          <w:pPr>
            <w:pStyle w:val="TOC2"/>
            <w:rPr>
              <w:rFonts w:asciiTheme="minorHAnsi" w:eastAsiaTheme="minorEastAsia" w:hAnsiTheme="minorHAnsi"/>
              <w:noProof/>
            </w:rPr>
          </w:pPr>
          <w:hyperlink w:anchor="_Toc5169406" w:history="1">
            <w:r w:rsidR="00674298" w:rsidRPr="00143160">
              <w:rPr>
                <w:rStyle w:val="Hyperlink"/>
                <w:rFonts w:ascii="Arial Bold" w:eastAsia="Times New Roman" w:hAnsi="Arial Bold"/>
                <w:noProof/>
              </w:rPr>
              <w:t>i.</w:t>
            </w:r>
            <w:r w:rsidR="00674298">
              <w:rPr>
                <w:rFonts w:asciiTheme="minorHAnsi" w:eastAsiaTheme="minorEastAsia" w:hAnsiTheme="minorHAnsi"/>
                <w:noProof/>
              </w:rPr>
              <w:tab/>
            </w:r>
            <w:r w:rsidR="00674298" w:rsidRPr="00143160">
              <w:rPr>
                <w:rStyle w:val="Hyperlink"/>
                <w:rFonts w:eastAsia="Times New Roman"/>
                <w:noProof/>
              </w:rPr>
              <w:t>U.S.</w:t>
            </w:r>
            <w:r w:rsidR="00674298">
              <w:rPr>
                <w:noProof/>
                <w:webHidden/>
              </w:rPr>
              <w:tab/>
            </w:r>
            <w:r w:rsidR="00674298">
              <w:rPr>
                <w:noProof/>
                <w:webHidden/>
              </w:rPr>
              <w:fldChar w:fldCharType="begin"/>
            </w:r>
            <w:r w:rsidR="00674298">
              <w:rPr>
                <w:noProof/>
                <w:webHidden/>
              </w:rPr>
              <w:instrText xml:space="preserve"> PAGEREF _Toc5169406 \h </w:instrText>
            </w:r>
            <w:r w:rsidR="00674298">
              <w:rPr>
                <w:noProof/>
                <w:webHidden/>
              </w:rPr>
            </w:r>
            <w:r w:rsidR="00674298">
              <w:rPr>
                <w:noProof/>
                <w:webHidden/>
              </w:rPr>
              <w:fldChar w:fldCharType="separate"/>
            </w:r>
            <w:r w:rsidR="00711B5E">
              <w:rPr>
                <w:noProof/>
                <w:webHidden/>
              </w:rPr>
              <w:t>2</w:t>
            </w:r>
            <w:r w:rsidR="00674298">
              <w:rPr>
                <w:noProof/>
                <w:webHidden/>
              </w:rPr>
              <w:fldChar w:fldCharType="end"/>
            </w:r>
          </w:hyperlink>
        </w:p>
        <w:p w14:paraId="50B1ECAE" w14:textId="7F502449" w:rsidR="00674298" w:rsidRDefault="007F2645">
          <w:pPr>
            <w:pStyle w:val="TOC2"/>
            <w:rPr>
              <w:rFonts w:asciiTheme="minorHAnsi" w:eastAsiaTheme="minorEastAsia" w:hAnsiTheme="minorHAnsi"/>
              <w:noProof/>
            </w:rPr>
          </w:pPr>
          <w:hyperlink w:anchor="_Toc5169407" w:history="1">
            <w:r w:rsidR="00674298" w:rsidRPr="00143160">
              <w:rPr>
                <w:rStyle w:val="Hyperlink"/>
                <w:rFonts w:ascii="Arial Bold" w:eastAsia="Times New Roman" w:hAnsi="Arial Bold"/>
                <w:noProof/>
              </w:rPr>
              <w:t>ii.</w:t>
            </w:r>
            <w:r w:rsidR="00674298">
              <w:rPr>
                <w:rFonts w:asciiTheme="minorHAnsi" w:eastAsiaTheme="minorEastAsia" w:hAnsiTheme="minorHAnsi"/>
                <w:noProof/>
              </w:rPr>
              <w:tab/>
            </w:r>
            <w:r w:rsidR="00674298" w:rsidRPr="00143160">
              <w:rPr>
                <w:rStyle w:val="Hyperlink"/>
                <w:rFonts w:eastAsia="Times New Roman"/>
                <w:noProof/>
              </w:rPr>
              <w:t>Canada</w:t>
            </w:r>
            <w:r w:rsidR="00674298">
              <w:rPr>
                <w:noProof/>
                <w:webHidden/>
              </w:rPr>
              <w:tab/>
            </w:r>
            <w:r w:rsidR="00674298">
              <w:rPr>
                <w:noProof/>
                <w:webHidden/>
              </w:rPr>
              <w:fldChar w:fldCharType="begin"/>
            </w:r>
            <w:r w:rsidR="00674298">
              <w:rPr>
                <w:noProof/>
                <w:webHidden/>
              </w:rPr>
              <w:instrText xml:space="preserve"> PAGEREF _Toc5169407 \h </w:instrText>
            </w:r>
            <w:r w:rsidR="00674298">
              <w:rPr>
                <w:noProof/>
                <w:webHidden/>
              </w:rPr>
            </w:r>
            <w:r w:rsidR="00674298">
              <w:rPr>
                <w:noProof/>
                <w:webHidden/>
              </w:rPr>
              <w:fldChar w:fldCharType="separate"/>
            </w:r>
            <w:r w:rsidR="00711B5E">
              <w:rPr>
                <w:noProof/>
                <w:webHidden/>
              </w:rPr>
              <w:t>4</w:t>
            </w:r>
            <w:r w:rsidR="00674298">
              <w:rPr>
                <w:noProof/>
                <w:webHidden/>
              </w:rPr>
              <w:fldChar w:fldCharType="end"/>
            </w:r>
          </w:hyperlink>
        </w:p>
        <w:p w14:paraId="54D1A108" w14:textId="79EA4255" w:rsidR="00674298" w:rsidRDefault="007F2645">
          <w:pPr>
            <w:pStyle w:val="TOC2"/>
            <w:rPr>
              <w:rFonts w:asciiTheme="minorHAnsi" w:eastAsiaTheme="minorEastAsia" w:hAnsiTheme="minorHAnsi"/>
              <w:noProof/>
            </w:rPr>
          </w:pPr>
          <w:hyperlink w:anchor="_Toc5169408" w:history="1">
            <w:r w:rsidR="00674298" w:rsidRPr="00143160">
              <w:rPr>
                <w:rStyle w:val="Hyperlink"/>
                <w:rFonts w:ascii="Arial Bold" w:eastAsia="Times New Roman" w:hAnsi="Arial Bold"/>
                <w:noProof/>
              </w:rPr>
              <w:t>iii.</w:t>
            </w:r>
            <w:r w:rsidR="00674298">
              <w:rPr>
                <w:rFonts w:asciiTheme="minorHAnsi" w:eastAsiaTheme="minorEastAsia" w:hAnsiTheme="minorHAnsi"/>
                <w:noProof/>
              </w:rPr>
              <w:tab/>
            </w:r>
            <w:r w:rsidR="00674298" w:rsidRPr="00143160">
              <w:rPr>
                <w:rStyle w:val="Hyperlink"/>
                <w:rFonts w:eastAsia="Times New Roman"/>
                <w:noProof/>
              </w:rPr>
              <w:t>Global trends</w:t>
            </w:r>
            <w:r w:rsidR="00674298">
              <w:rPr>
                <w:noProof/>
                <w:webHidden/>
              </w:rPr>
              <w:tab/>
            </w:r>
            <w:r w:rsidR="00674298">
              <w:rPr>
                <w:noProof/>
                <w:webHidden/>
              </w:rPr>
              <w:fldChar w:fldCharType="begin"/>
            </w:r>
            <w:r w:rsidR="00674298">
              <w:rPr>
                <w:noProof/>
                <w:webHidden/>
              </w:rPr>
              <w:instrText xml:space="preserve"> PAGEREF _Toc5169408 \h </w:instrText>
            </w:r>
            <w:r w:rsidR="00674298">
              <w:rPr>
                <w:noProof/>
                <w:webHidden/>
              </w:rPr>
            </w:r>
            <w:r w:rsidR="00674298">
              <w:rPr>
                <w:noProof/>
                <w:webHidden/>
              </w:rPr>
              <w:fldChar w:fldCharType="separate"/>
            </w:r>
            <w:r w:rsidR="00711B5E">
              <w:rPr>
                <w:noProof/>
                <w:webHidden/>
              </w:rPr>
              <w:t>5</w:t>
            </w:r>
            <w:r w:rsidR="00674298">
              <w:rPr>
                <w:noProof/>
                <w:webHidden/>
              </w:rPr>
              <w:fldChar w:fldCharType="end"/>
            </w:r>
          </w:hyperlink>
        </w:p>
        <w:p w14:paraId="091B973C" w14:textId="2D4527CA" w:rsidR="00674298" w:rsidRDefault="007F2645" w:rsidP="008B3831">
          <w:pPr>
            <w:pStyle w:val="TOC1"/>
            <w:rPr>
              <w:rFonts w:asciiTheme="minorHAnsi" w:eastAsiaTheme="minorEastAsia" w:hAnsiTheme="minorHAnsi"/>
            </w:rPr>
          </w:pPr>
          <w:hyperlink w:anchor="_Toc5169409" w:history="1">
            <w:r w:rsidR="00674298" w:rsidRPr="00143160">
              <w:rPr>
                <w:rStyle w:val="Hyperlink"/>
              </w:rPr>
              <w:t>Analysis</w:t>
            </w:r>
            <w:r w:rsidR="00674298">
              <w:rPr>
                <w:webHidden/>
              </w:rPr>
              <w:tab/>
            </w:r>
            <w:r w:rsidR="00674298">
              <w:rPr>
                <w:webHidden/>
              </w:rPr>
              <w:fldChar w:fldCharType="begin"/>
            </w:r>
            <w:r w:rsidR="00674298">
              <w:rPr>
                <w:webHidden/>
              </w:rPr>
              <w:instrText xml:space="preserve"> PAGEREF _Toc5169409 \h </w:instrText>
            </w:r>
            <w:r w:rsidR="00674298">
              <w:rPr>
                <w:webHidden/>
              </w:rPr>
            </w:r>
            <w:r w:rsidR="00674298">
              <w:rPr>
                <w:webHidden/>
              </w:rPr>
              <w:fldChar w:fldCharType="separate"/>
            </w:r>
            <w:r w:rsidR="00711B5E">
              <w:rPr>
                <w:webHidden/>
              </w:rPr>
              <w:t>5</w:t>
            </w:r>
            <w:r w:rsidR="00674298">
              <w:rPr>
                <w:webHidden/>
              </w:rPr>
              <w:fldChar w:fldCharType="end"/>
            </w:r>
          </w:hyperlink>
        </w:p>
        <w:p w14:paraId="02859EC9" w14:textId="12E05957" w:rsidR="00674298" w:rsidRDefault="007F2645">
          <w:pPr>
            <w:pStyle w:val="TOC2"/>
            <w:rPr>
              <w:rFonts w:asciiTheme="minorHAnsi" w:eastAsiaTheme="minorEastAsia" w:hAnsiTheme="minorHAnsi"/>
              <w:noProof/>
            </w:rPr>
          </w:pPr>
          <w:hyperlink w:anchor="_Toc5169410" w:history="1">
            <w:r w:rsidR="00674298" w:rsidRPr="00143160">
              <w:rPr>
                <w:rStyle w:val="Hyperlink"/>
                <w:rFonts w:ascii="Arial Bold" w:eastAsia="Times New Roman" w:hAnsi="Arial Bold"/>
                <w:noProof/>
              </w:rPr>
              <w:t>i.</w:t>
            </w:r>
            <w:r w:rsidR="00674298">
              <w:rPr>
                <w:rFonts w:asciiTheme="minorHAnsi" w:eastAsiaTheme="minorEastAsia" w:hAnsiTheme="minorHAnsi"/>
                <w:noProof/>
              </w:rPr>
              <w:tab/>
            </w:r>
            <w:r w:rsidR="00674298" w:rsidRPr="00143160">
              <w:rPr>
                <w:rStyle w:val="Hyperlink"/>
                <w:rFonts w:eastAsia="Times New Roman"/>
                <w:noProof/>
              </w:rPr>
              <w:t>Assess the need to stay in sync with the U.S.</w:t>
            </w:r>
            <w:r w:rsidR="00674298">
              <w:rPr>
                <w:noProof/>
                <w:webHidden/>
              </w:rPr>
              <w:tab/>
            </w:r>
            <w:r w:rsidR="00674298">
              <w:rPr>
                <w:noProof/>
                <w:webHidden/>
              </w:rPr>
              <w:fldChar w:fldCharType="begin"/>
            </w:r>
            <w:r w:rsidR="00674298">
              <w:rPr>
                <w:noProof/>
                <w:webHidden/>
              </w:rPr>
              <w:instrText xml:space="preserve"> PAGEREF _Toc5169410 \h </w:instrText>
            </w:r>
            <w:r w:rsidR="00674298">
              <w:rPr>
                <w:noProof/>
                <w:webHidden/>
              </w:rPr>
            </w:r>
            <w:r w:rsidR="00674298">
              <w:rPr>
                <w:noProof/>
                <w:webHidden/>
              </w:rPr>
              <w:fldChar w:fldCharType="separate"/>
            </w:r>
            <w:r w:rsidR="00711B5E">
              <w:rPr>
                <w:noProof/>
                <w:webHidden/>
              </w:rPr>
              <w:t>5</w:t>
            </w:r>
            <w:r w:rsidR="00674298">
              <w:rPr>
                <w:noProof/>
                <w:webHidden/>
              </w:rPr>
              <w:fldChar w:fldCharType="end"/>
            </w:r>
          </w:hyperlink>
        </w:p>
        <w:p w14:paraId="5B292B28" w14:textId="1F2A6EA0" w:rsidR="00674298" w:rsidRDefault="007F2645">
          <w:pPr>
            <w:pStyle w:val="TOC2"/>
            <w:rPr>
              <w:rFonts w:asciiTheme="minorHAnsi" w:eastAsiaTheme="minorEastAsia" w:hAnsiTheme="minorHAnsi"/>
              <w:noProof/>
            </w:rPr>
          </w:pPr>
          <w:hyperlink w:anchor="_Toc5169411" w:history="1">
            <w:r w:rsidR="00674298" w:rsidRPr="00143160">
              <w:rPr>
                <w:rStyle w:val="Hyperlink"/>
                <w:rFonts w:ascii="Arial Bold" w:eastAsia="Times New Roman" w:hAnsi="Arial Bold"/>
                <w:noProof/>
              </w:rPr>
              <w:t>ii.</w:t>
            </w:r>
            <w:r w:rsidR="00674298">
              <w:rPr>
                <w:rFonts w:asciiTheme="minorHAnsi" w:eastAsiaTheme="minorEastAsia" w:hAnsiTheme="minorHAnsi"/>
                <w:noProof/>
              </w:rPr>
              <w:tab/>
            </w:r>
            <w:r w:rsidR="00674298" w:rsidRPr="00143160">
              <w:rPr>
                <w:rStyle w:val="Hyperlink"/>
                <w:rFonts w:eastAsia="Times New Roman"/>
                <w:noProof/>
              </w:rPr>
              <w:t>Determine the operational impact</w:t>
            </w:r>
            <w:r w:rsidR="00674298">
              <w:rPr>
                <w:noProof/>
                <w:webHidden/>
              </w:rPr>
              <w:tab/>
            </w:r>
            <w:r w:rsidR="00674298">
              <w:rPr>
                <w:noProof/>
                <w:webHidden/>
              </w:rPr>
              <w:fldChar w:fldCharType="begin"/>
            </w:r>
            <w:r w:rsidR="00674298">
              <w:rPr>
                <w:noProof/>
                <w:webHidden/>
              </w:rPr>
              <w:instrText xml:space="preserve"> PAGEREF _Toc5169411 \h </w:instrText>
            </w:r>
            <w:r w:rsidR="00674298">
              <w:rPr>
                <w:noProof/>
                <w:webHidden/>
              </w:rPr>
            </w:r>
            <w:r w:rsidR="00674298">
              <w:rPr>
                <w:noProof/>
                <w:webHidden/>
              </w:rPr>
              <w:fldChar w:fldCharType="separate"/>
            </w:r>
            <w:r w:rsidR="00711B5E">
              <w:rPr>
                <w:noProof/>
                <w:webHidden/>
              </w:rPr>
              <w:t>6</w:t>
            </w:r>
            <w:r w:rsidR="00674298">
              <w:rPr>
                <w:noProof/>
                <w:webHidden/>
              </w:rPr>
              <w:fldChar w:fldCharType="end"/>
            </w:r>
          </w:hyperlink>
        </w:p>
        <w:p w14:paraId="556988D4" w14:textId="46F8B920" w:rsidR="00674298" w:rsidRDefault="007F2645">
          <w:pPr>
            <w:pStyle w:val="TOC2"/>
            <w:rPr>
              <w:rFonts w:asciiTheme="minorHAnsi" w:eastAsiaTheme="minorEastAsia" w:hAnsiTheme="minorHAnsi"/>
              <w:noProof/>
            </w:rPr>
          </w:pPr>
          <w:hyperlink w:anchor="_Toc5169412" w:history="1">
            <w:r w:rsidR="00674298" w:rsidRPr="00143160">
              <w:rPr>
                <w:rStyle w:val="Hyperlink"/>
                <w:rFonts w:ascii="Arial Bold" w:eastAsia="Times New Roman" w:hAnsi="Arial Bold"/>
                <w:noProof/>
              </w:rPr>
              <w:t>iii.</w:t>
            </w:r>
            <w:r w:rsidR="00674298">
              <w:rPr>
                <w:rFonts w:asciiTheme="minorHAnsi" w:eastAsiaTheme="minorEastAsia" w:hAnsiTheme="minorHAnsi"/>
                <w:noProof/>
              </w:rPr>
              <w:tab/>
            </w:r>
            <w:r w:rsidR="00674298" w:rsidRPr="00143160">
              <w:rPr>
                <w:rStyle w:val="Hyperlink"/>
                <w:rFonts w:eastAsia="Times New Roman"/>
                <w:noProof/>
              </w:rPr>
              <w:t>Determine the financial impact</w:t>
            </w:r>
            <w:r w:rsidR="00674298">
              <w:rPr>
                <w:noProof/>
                <w:webHidden/>
              </w:rPr>
              <w:tab/>
            </w:r>
            <w:r w:rsidR="00674298">
              <w:rPr>
                <w:noProof/>
                <w:webHidden/>
              </w:rPr>
              <w:fldChar w:fldCharType="begin"/>
            </w:r>
            <w:r w:rsidR="00674298">
              <w:rPr>
                <w:noProof/>
                <w:webHidden/>
              </w:rPr>
              <w:instrText xml:space="preserve"> PAGEREF _Toc5169412 \h </w:instrText>
            </w:r>
            <w:r w:rsidR="00674298">
              <w:rPr>
                <w:noProof/>
                <w:webHidden/>
              </w:rPr>
            </w:r>
            <w:r w:rsidR="00674298">
              <w:rPr>
                <w:noProof/>
                <w:webHidden/>
              </w:rPr>
              <w:fldChar w:fldCharType="separate"/>
            </w:r>
            <w:r w:rsidR="00711B5E">
              <w:rPr>
                <w:noProof/>
                <w:webHidden/>
              </w:rPr>
              <w:t>6</w:t>
            </w:r>
            <w:r w:rsidR="00674298">
              <w:rPr>
                <w:noProof/>
                <w:webHidden/>
              </w:rPr>
              <w:fldChar w:fldCharType="end"/>
            </w:r>
          </w:hyperlink>
        </w:p>
        <w:p w14:paraId="4CB3220E" w14:textId="70653314" w:rsidR="00674298" w:rsidRDefault="007F2645">
          <w:pPr>
            <w:pStyle w:val="TOC2"/>
            <w:rPr>
              <w:rFonts w:asciiTheme="minorHAnsi" w:eastAsiaTheme="minorEastAsia" w:hAnsiTheme="minorHAnsi"/>
              <w:noProof/>
            </w:rPr>
          </w:pPr>
          <w:hyperlink w:anchor="_Toc5169413" w:history="1">
            <w:r w:rsidR="00674298" w:rsidRPr="00143160">
              <w:rPr>
                <w:rStyle w:val="Hyperlink"/>
                <w:rFonts w:ascii="Arial Bold" w:eastAsia="Times New Roman" w:hAnsi="Arial Bold"/>
                <w:noProof/>
              </w:rPr>
              <w:t>iv.</w:t>
            </w:r>
            <w:r w:rsidR="00674298">
              <w:rPr>
                <w:rFonts w:asciiTheme="minorHAnsi" w:eastAsiaTheme="minorEastAsia" w:hAnsiTheme="minorHAnsi"/>
                <w:noProof/>
              </w:rPr>
              <w:tab/>
            </w:r>
            <w:r w:rsidR="00674298" w:rsidRPr="00143160">
              <w:rPr>
                <w:rStyle w:val="Hyperlink"/>
                <w:rFonts w:eastAsia="Times New Roman"/>
                <w:noProof/>
              </w:rPr>
              <w:t>Assess the preferred timing of a conversion, if desired</w:t>
            </w:r>
            <w:r w:rsidR="00674298">
              <w:rPr>
                <w:noProof/>
                <w:webHidden/>
              </w:rPr>
              <w:tab/>
            </w:r>
            <w:r w:rsidR="00674298">
              <w:rPr>
                <w:noProof/>
                <w:webHidden/>
              </w:rPr>
              <w:fldChar w:fldCharType="begin"/>
            </w:r>
            <w:r w:rsidR="00674298">
              <w:rPr>
                <w:noProof/>
                <w:webHidden/>
              </w:rPr>
              <w:instrText xml:space="preserve"> PAGEREF _Toc5169413 \h </w:instrText>
            </w:r>
            <w:r w:rsidR="00674298">
              <w:rPr>
                <w:noProof/>
                <w:webHidden/>
              </w:rPr>
            </w:r>
            <w:r w:rsidR="00674298">
              <w:rPr>
                <w:noProof/>
                <w:webHidden/>
              </w:rPr>
              <w:fldChar w:fldCharType="separate"/>
            </w:r>
            <w:r w:rsidR="00711B5E">
              <w:rPr>
                <w:noProof/>
                <w:webHidden/>
              </w:rPr>
              <w:t>7</w:t>
            </w:r>
            <w:r w:rsidR="00674298">
              <w:rPr>
                <w:noProof/>
                <w:webHidden/>
              </w:rPr>
              <w:fldChar w:fldCharType="end"/>
            </w:r>
          </w:hyperlink>
        </w:p>
        <w:p w14:paraId="0F2E424A" w14:textId="53C79133" w:rsidR="00674298" w:rsidRDefault="007F2645" w:rsidP="008B3831">
          <w:pPr>
            <w:pStyle w:val="TOC1"/>
            <w:rPr>
              <w:rFonts w:asciiTheme="minorHAnsi" w:eastAsiaTheme="minorEastAsia" w:hAnsiTheme="minorHAnsi"/>
            </w:rPr>
          </w:pPr>
          <w:hyperlink w:anchor="_Toc5169414" w:history="1">
            <w:r w:rsidR="00674298" w:rsidRPr="00143160">
              <w:rPr>
                <w:rStyle w:val="Hyperlink"/>
              </w:rPr>
              <w:t>Recommendation</w:t>
            </w:r>
            <w:r w:rsidR="00674298">
              <w:rPr>
                <w:webHidden/>
              </w:rPr>
              <w:tab/>
            </w:r>
            <w:r w:rsidR="00674298">
              <w:rPr>
                <w:webHidden/>
              </w:rPr>
              <w:fldChar w:fldCharType="begin"/>
            </w:r>
            <w:r w:rsidR="00674298">
              <w:rPr>
                <w:webHidden/>
              </w:rPr>
              <w:instrText xml:space="preserve"> PAGEREF _Toc5169414 \h </w:instrText>
            </w:r>
            <w:r w:rsidR="00674298">
              <w:rPr>
                <w:webHidden/>
              </w:rPr>
            </w:r>
            <w:r w:rsidR="00674298">
              <w:rPr>
                <w:webHidden/>
              </w:rPr>
              <w:fldChar w:fldCharType="separate"/>
            </w:r>
            <w:r w:rsidR="00711B5E">
              <w:rPr>
                <w:webHidden/>
              </w:rPr>
              <w:t>7</w:t>
            </w:r>
            <w:r w:rsidR="00674298">
              <w:rPr>
                <w:webHidden/>
              </w:rPr>
              <w:fldChar w:fldCharType="end"/>
            </w:r>
          </w:hyperlink>
        </w:p>
        <w:p w14:paraId="125761E1" w14:textId="7E0C75CA" w:rsidR="00F63407" w:rsidRDefault="00F63407" w:rsidP="00CF7DDE">
          <w:pPr>
            <w:spacing w:line="240" w:lineRule="auto"/>
          </w:pPr>
          <w:r>
            <w:rPr>
              <w:b/>
              <w:bCs/>
              <w:noProof/>
            </w:rPr>
            <w:fldChar w:fldCharType="end"/>
          </w:r>
        </w:p>
      </w:sdtContent>
    </w:sdt>
    <w:p w14:paraId="40AF2E19" w14:textId="77777777" w:rsidR="007D5AFE" w:rsidRDefault="007D5AFE" w:rsidP="00CF7DDE">
      <w:pPr>
        <w:spacing w:after="160" w:line="240" w:lineRule="auto"/>
        <w:rPr>
          <w:rFonts w:eastAsia="Times New Roman" w:cs="Arial"/>
          <w:sz w:val="24"/>
          <w:szCs w:val="24"/>
        </w:rPr>
        <w:sectPr w:rsidR="007D5AFE" w:rsidSect="00F7003B">
          <w:headerReference w:type="default" r:id="rId11"/>
          <w:footerReference w:type="default" r:id="rId12"/>
          <w:pgSz w:w="12240" w:h="15840"/>
          <w:pgMar w:top="1530" w:right="1440" w:bottom="1440" w:left="1440" w:header="720" w:footer="720" w:gutter="0"/>
          <w:pgNumType w:fmt="lowerRoman" w:start="1"/>
          <w:cols w:space="720"/>
          <w:docGrid w:linePitch="360"/>
        </w:sectPr>
      </w:pPr>
    </w:p>
    <w:p w14:paraId="0D5E8F36" w14:textId="77777777" w:rsidR="009D5B86" w:rsidRDefault="009D5B86">
      <w:pPr>
        <w:pStyle w:val="Heading1"/>
      </w:pPr>
    </w:p>
    <w:p w14:paraId="48068DD1" w14:textId="4D7491CB" w:rsidR="00081F0B" w:rsidRPr="00A20E37" w:rsidRDefault="006A0107" w:rsidP="00B220B8">
      <w:pPr>
        <w:pStyle w:val="ListParagraph"/>
        <w:numPr>
          <w:ilvl w:val="0"/>
          <w:numId w:val="24"/>
        </w:numPr>
        <w:ind w:left="360"/>
        <w:rPr>
          <w:sz w:val="28"/>
          <w:szCs w:val="28"/>
        </w:rPr>
      </w:pPr>
      <w:bookmarkStart w:id="2" w:name="Introduction"/>
      <w:bookmarkStart w:id="3" w:name="_Toc5169404"/>
      <w:r w:rsidRPr="00A20E37">
        <w:rPr>
          <w:b/>
          <w:sz w:val="28"/>
          <w:szCs w:val="28"/>
        </w:rPr>
        <w:t>Introduction</w:t>
      </w:r>
      <w:bookmarkEnd w:id="2"/>
      <w:bookmarkEnd w:id="3"/>
    </w:p>
    <w:p w14:paraId="6466805A" w14:textId="30F7BAF4" w:rsidR="00AC69D3" w:rsidRPr="004A4BA7" w:rsidRDefault="00AC69D3" w:rsidP="00CF7DDE">
      <w:pPr>
        <w:spacing w:line="240" w:lineRule="auto"/>
        <w:ind w:left="360"/>
      </w:pPr>
    </w:p>
    <w:p w14:paraId="290A0C78" w14:textId="05783C27" w:rsidR="003629BE" w:rsidRPr="004A4BA7" w:rsidRDefault="00B059FD" w:rsidP="00CF7DDE">
      <w:pPr>
        <w:spacing w:line="240" w:lineRule="auto"/>
        <w:ind w:left="360"/>
      </w:pPr>
      <w:r w:rsidRPr="004A4BA7">
        <w:t>The Canadian Capital Markets Association (</w:t>
      </w:r>
      <w:r w:rsidR="00943E5B" w:rsidRPr="004A4BA7">
        <w:t>CCMA</w:t>
      </w:r>
      <w:r w:rsidRPr="004A4BA7">
        <w:t>)</w:t>
      </w:r>
      <w:r w:rsidR="00943E5B" w:rsidRPr="004A4BA7">
        <w:t xml:space="preserve"> </w:t>
      </w:r>
      <w:r w:rsidR="003629BE" w:rsidRPr="004A4BA7">
        <w:t xml:space="preserve">is a federally incorporated, not-for-profit organization launched in 1999 “to communicate, educate and help co-ordinate the different segments of the investment industry on projects and initiatives spanning multiple parts of Canada’s capital markets.  It brings together all parts of the investment industry that would have to be part of </w:t>
      </w:r>
      <w:r w:rsidR="00C375DF" w:rsidRPr="004A4BA7">
        <w:t xml:space="preserve">any </w:t>
      </w:r>
      <w:r w:rsidR="003629BE" w:rsidRPr="004A4BA7">
        <w:t>system-wide change</w:t>
      </w:r>
      <w:r w:rsidR="00C375DF" w:rsidRPr="004A4BA7">
        <w:t xml:space="preserve"> in Canadian capital markets</w:t>
      </w:r>
      <w:r w:rsidR="003629BE" w:rsidRPr="004A4BA7">
        <w:t xml:space="preserve">.  Participating under the CCMA’s co-ordinating umbrella </w:t>
      </w:r>
      <w:r w:rsidR="00C375DF" w:rsidRPr="004A4BA7">
        <w:t xml:space="preserve">are </w:t>
      </w:r>
      <w:r w:rsidR="003629BE" w:rsidRPr="004A4BA7">
        <w:t xml:space="preserve">dealers, custodians, asset managers and industry associations, etc.; key securities infrastructure, such as exchanges, CDS and Fundserv; back-office service providers and vendors; and other stakeholders (e.g., regulators, including </w:t>
      </w:r>
      <w:r w:rsidR="0083193D" w:rsidRPr="004A4BA7">
        <w:t>self-regulatory organizations (</w:t>
      </w:r>
      <w:r w:rsidR="003629BE" w:rsidRPr="004A4BA7">
        <w:t>SROs).</w:t>
      </w:r>
      <w:r w:rsidR="0034389C" w:rsidRPr="004A4BA7">
        <w:rPr>
          <w:rFonts w:cs="Arial"/>
        </w:rPr>
        <w:t xml:space="preserve"> </w:t>
      </w:r>
      <w:r w:rsidR="00ED58BC" w:rsidRPr="004A4BA7">
        <w:rPr>
          <w:rFonts w:cs="Arial"/>
        </w:rPr>
        <w:t xml:space="preserve"> </w:t>
      </w:r>
    </w:p>
    <w:p w14:paraId="272F2255" w14:textId="6039EB70" w:rsidR="003629BE" w:rsidRPr="004A4BA7" w:rsidRDefault="003629BE" w:rsidP="00CF7DDE">
      <w:pPr>
        <w:spacing w:line="240" w:lineRule="auto"/>
        <w:ind w:left="360"/>
      </w:pPr>
    </w:p>
    <w:p w14:paraId="7FB0C900" w14:textId="1C3717FD" w:rsidR="008C1272" w:rsidRPr="004A4BA7" w:rsidRDefault="003861B9" w:rsidP="00CF7DDE">
      <w:pPr>
        <w:spacing w:line="240" w:lineRule="auto"/>
        <w:ind w:left="360"/>
      </w:pPr>
      <w:r w:rsidRPr="004A4BA7">
        <w:t>Due to close links with</w:t>
      </w:r>
      <w:r w:rsidR="00144B36" w:rsidRPr="004A4BA7">
        <w:t>,</w:t>
      </w:r>
      <w:r w:rsidRPr="004A4BA7">
        <w:t xml:space="preserve"> </w:t>
      </w:r>
      <w:r w:rsidR="00F2526E" w:rsidRPr="004A4BA7">
        <w:t xml:space="preserve">and dependencies on the much larger </w:t>
      </w:r>
      <w:r w:rsidR="00883742" w:rsidRPr="004A4BA7">
        <w:t xml:space="preserve">U.S. </w:t>
      </w:r>
      <w:r w:rsidR="00F2526E" w:rsidRPr="004A4BA7">
        <w:t xml:space="preserve">capital markets, the CCMA remains in close contact with </w:t>
      </w:r>
      <w:r w:rsidR="006342E0" w:rsidRPr="004A4BA7">
        <w:t>counterparts – and keenly aware of developments –</w:t>
      </w:r>
      <w:r w:rsidR="0083193D" w:rsidRPr="004A4BA7">
        <w:t xml:space="preserve"> </w:t>
      </w:r>
      <w:r w:rsidR="00F2526E" w:rsidRPr="004A4BA7">
        <w:t xml:space="preserve">south of the border.  </w:t>
      </w:r>
      <w:r w:rsidR="00BE798A" w:rsidRPr="004A4BA7">
        <w:t>Between 2015 and 2017, the capital markets industry in Canada and the U.S. worked jointly to reduce the time between when a trade is executed and when it is settled from</w:t>
      </w:r>
      <w:r w:rsidR="00AE7756" w:rsidRPr="004A4BA7">
        <w:t xml:space="preserve"> </w:t>
      </w:r>
      <w:r w:rsidR="00BE798A" w:rsidRPr="004A4BA7">
        <w:t xml:space="preserve">three to two days after trade date.  The move from T+3 to T+2 reduced </w:t>
      </w:r>
      <w:r w:rsidR="000C12C7" w:rsidRPr="004A4BA7">
        <w:t>the quantum of trade-to-settlement-date risk</w:t>
      </w:r>
      <w:r w:rsidR="0008569A" w:rsidRPr="004A4BA7">
        <w:t xml:space="preserve"> and cost</w:t>
      </w:r>
      <w:r w:rsidR="00BE798A" w:rsidRPr="004A4BA7">
        <w:t>, but both parties to a trade remain exposed to credit, counterparty, and operational risk</w:t>
      </w:r>
      <w:r w:rsidR="0008569A" w:rsidRPr="004A4BA7">
        <w:t>s</w:t>
      </w:r>
      <w:r w:rsidR="00BE798A" w:rsidRPr="004A4BA7">
        <w:t xml:space="preserve">, and must tie up capital to fulfill </w:t>
      </w:r>
      <w:r w:rsidR="007B0C79" w:rsidRPr="004A4BA7">
        <w:t xml:space="preserve">depository </w:t>
      </w:r>
      <w:r w:rsidR="00BE798A" w:rsidRPr="004A4BA7">
        <w:t>margin requirements</w:t>
      </w:r>
      <w:r w:rsidR="0008569A" w:rsidRPr="004A4BA7">
        <w:t>.  T</w:t>
      </w:r>
      <w:r w:rsidR="008C1272" w:rsidRPr="004A4BA7">
        <w:t xml:space="preserve">he U.S. has been analyzing options to reduce </w:t>
      </w:r>
      <w:r w:rsidR="0008569A" w:rsidRPr="004A4BA7">
        <w:t xml:space="preserve">these </w:t>
      </w:r>
      <w:r w:rsidR="008C1272" w:rsidRPr="004A4BA7">
        <w:t>risk</w:t>
      </w:r>
      <w:r w:rsidR="0008569A" w:rsidRPr="004A4BA7">
        <w:t xml:space="preserve">s in a project described as modernizing </w:t>
      </w:r>
      <w:r w:rsidR="00D30ABD" w:rsidRPr="004A4BA7">
        <w:t>the country’s equity infrastructure</w:t>
      </w:r>
      <w:r w:rsidR="008C1272" w:rsidRPr="004A4BA7">
        <w:t>.</w:t>
      </w:r>
    </w:p>
    <w:p w14:paraId="16B353A9" w14:textId="77777777" w:rsidR="008C1272" w:rsidRPr="004A4BA7" w:rsidRDefault="008C1272" w:rsidP="00CF7DDE">
      <w:pPr>
        <w:spacing w:line="240" w:lineRule="auto"/>
        <w:ind w:left="360"/>
      </w:pPr>
    </w:p>
    <w:p w14:paraId="057577E3" w14:textId="0F8A782C" w:rsidR="00943E5B" w:rsidRPr="004A4BA7" w:rsidRDefault="00F3597D" w:rsidP="006B37C2">
      <w:pPr>
        <w:spacing w:line="240" w:lineRule="auto"/>
        <w:ind w:left="360"/>
      </w:pPr>
      <w:r w:rsidRPr="004A4BA7">
        <w:t>The CCMA</w:t>
      </w:r>
      <w:r w:rsidR="00ED58BC" w:rsidRPr="004A4BA7">
        <w:t>,</w:t>
      </w:r>
      <w:r w:rsidRPr="004A4BA7">
        <w:t xml:space="preserve"> </w:t>
      </w:r>
      <w:r w:rsidR="00ED58BC" w:rsidRPr="004A4BA7">
        <w:rPr>
          <w:rFonts w:cs="Arial"/>
        </w:rPr>
        <w:t xml:space="preserve">as a broad-based, independent, and cost-effective sounding board, </w:t>
      </w:r>
      <w:r w:rsidRPr="004A4BA7">
        <w:t xml:space="preserve">was </w:t>
      </w:r>
      <w:r w:rsidR="00943E5B" w:rsidRPr="004A4BA7">
        <w:t xml:space="preserve">approached by the </w:t>
      </w:r>
      <w:r w:rsidR="00B220B8">
        <w:t>CDS</w:t>
      </w:r>
      <w:r w:rsidR="00943E5B" w:rsidRPr="004A4BA7">
        <w:t xml:space="preserve"> </w:t>
      </w:r>
      <w:r w:rsidRPr="004A4BA7">
        <w:t xml:space="preserve">in </w:t>
      </w:r>
      <w:r w:rsidR="00883742" w:rsidRPr="004A4BA7">
        <w:t>2018</w:t>
      </w:r>
      <w:r w:rsidR="00EC1F5E" w:rsidRPr="004A4BA7">
        <w:rPr>
          <w:i/>
        </w:rPr>
        <w:t xml:space="preserve"> </w:t>
      </w:r>
      <w:r w:rsidRPr="004A4BA7">
        <w:t>to</w:t>
      </w:r>
      <w:r w:rsidR="00C146BC" w:rsidRPr="004A4BA7">
        <w:t xml:space="preserve"> conduct</w:t>
      </w:r>
      <w:r w:rsidR="006B37C2" w:rsidRPr="004A4BA7">
        <w:t xml:space="preserve"> – </w:t>
      </w:r>
      <w:r w:rsidR="00943E5B" w:rsidRPr="004A4BA7">
        <w:t>and the CCMA Board approved</w:t>
      </w:r>
      <w:r w:rsidRPr="004A4BA7">
        <w:t xml:space="preserve"> </w:t>
      </w:r>
      <w:r w:rsidR="00C146BC" w:rsidRPr="004A4BA7">
        <w:t xml:space="preserve">that </w:t>
      </w:r>
      <w:r w:rsidR="00943E5B" w:rsidRPr="004A4BA7">
        <w:t>the association</w:t>
      </w:r>
      <w:r w:rsidRPr="004A4BA7">
        <w:t xml:space="preserve"> undertake</w:t>
      </w:r>
      <w:r w:rsidR="006B37C2" w:rsidRPr="004A4BA7">
        <w:t xml:space="preserve"> – </w:t>
      </w:r>
      <w:r w:rsidR="00943E5B" w:rsidRPr="004A4BA7">
        <w:t xml:space="preserve">a review with the </w:t>
      </w:r>
      <w:r w:rsidR="00883742" w:rsidRPr="004A4BA7">
        <w:t xml:space="preserve">financial </w:t>
      </w:r>
      <w:r w:rsidR="00943E5B" w:rsidRPr="004A4BA7">
        <w:t>industry o</w:t>
      </w:r>
      <w:r w:rsidR="00C146BC" w:rsidRPr="004A4BA7">
        <w:t>f</w:t>
      </w:r>
      <w:r w:rsidR="00943E5B" w:rsidRPr="004A4BA7">
        <w:t xml:space="preserve"> the possibility of a Canadian settlement optimization proposal</w:t>
      </w:r>
      <w:r w:rsidR="00C146BC" w:rsidRPr="004A4BA7">
        <w:t xml:space="preserve">.  </w:t>
      </w:r>
      <w:r w:rsidR="006764C0" w:rsidRPr="004A4BA7">
        <w:t>The Depository Trust &amp; Clearing Corporation</w:t>
      </w:r>
      <w:r w:rsidR="000752DC" w:rsidRPr="004A4BA7">
        <w:t>’s</w:t>
      </w:r>
      <w:r w:rsidR="006764C0" w:rsidRPr="004A4BA7">
        <w:t xml:space="preserve"> (</w:t>
      </w:r>
      <w:r w:rsidR="00C82C00" w:rsidRPr="004A4BA7">
        <w:t>DTCC’s</w:t>
      </w:r>
      <w:r w:rsidR="000752DC" w:rsidRPr="004A4BA7">
        <w:t>)</w:t>
      </w:r>
      <w:r w:rsidR="00C82C00" w:rsidRPr="004A4BA7">
        <w:t xml:space="preserve"> </w:t>
      </w:r>
      <w:r w:rsidR="00A94A86" w:rsidRPr="004A4BA7">
        <w:t>s</w:t>
      </w:r>
      <w:r w:rsidR="003E6D42" w:rsidRPr="004A4BA7">
        <w:t xml:space="preserve">ettlement </w:t>
      </w:r>
      <w:r w:rsidR="00A94A86" w:rsidRPr="004A4BA7">
        <w:t>o</w:t>
      </w:r>
      <w:r w:rsidR="003E6D42" w:rsidRPr="004A4BA7">
        <w:t xml:space="preserve">ptimization </w:t>
      </w:r>
      <w:r w:rsidR="00C82C00" w:rsidRPr="004A4BA7">
        <w:t xml:space="preserve">project is described as an effort </w:t>
      </w:r>
      <w:r w:rsidR="003E6D42" w:rsidRPr="004A4BA7">
        <w:t>“to improve clearing and settlement processing efficiency, promote settlement finality, reduce equity clearing margin requirements, and provide participants with liquidity enhancements.”</w:t>
      </w:r>
      <w:r w:rsidR="000940B2" w:rsidRPr="004A4BA7">
        <w:rPr>
          <w:vertAlign w:val="superscript"/>
        </w:rPr>
        <w:footnoteReference w:id="1"/>
      </w:r>
    </w:p>
    <w:p w14:paraId="0A8F5487" w14:textId="37AA7332" w:rsidR="00E245D5" w:rsidRPr="004A4BA7" w:rsidRDefault="00E245D5" w:rsidP="00CF7DDE">
      <w:pPr>
        <w:spacing w:line="240" w:lineRule="auto"/>
        <w:ind w:left="360"/>
      </w:pPr>
    </w:p>
    <w:p w14:paraId="08CE5D7B" w14:textId="4E30E329" w:rsidR="007D1277" w:rsidRPr="004A4BA7" w:rsidRDefault="00E23BDF" w:rsidP="00CF7DDE">
      <w:pPr>
        <w:widowControl w:val="0"/>
        <w:tabs>
          <w:tab w:val="left" w:pos="4050"/>
        </w:tabs>
        <w:autoSpaceDE w:val="0"/>
        <w:autoSpaceDN w:val="0"/>
        <w:adjustRightInd w:val="0"/>
        <w:spacing w:line="240" w:lineRule="auto"/>
        <w:ind w:left="360"/>
      </w:pPr>
      <w:r w:rsidRPr="004A4BA7">
        <w:t xml:space="preserve">The CCMA’s specific </w:t>
      </w:r>
      <w:r w:rsidR="00A03FF2" w:rsidRPr="004A4BA7">
        <w:t xml:space="preserve">assignment </w:t>
      </w:r>
      <w:r w:rsidR="00342F08" w:rsidRPr="004A4BA7">
        <w:t>wa</w:t>
      </w:r>
      <w:r w:rsidR="00A03FF2" w:rsidRPr="004A4BA7">
        <w:t xml:space="preserve">s to </w:t>
      </w:r>
      <w:r w:rsidR="00883742" w:rsidRPr="004A4BA7">
        <w:t xml:space="preserve">recommend to </w:t>
      </w:r>
      <w:r w:rsidR="00B220B8">
        <w:t>CDS</w:t>
      </w:r>
      <w:r w:rsidR="00883742" w:rsidRPr="004A4BA7">
        <w:t>, based on</w:t>
      </w:r>
      <w:r w:rsidR="00A03FF2" w:rsidRPr="004A4BA7">
        <w:t xml:space="preserve"> consensus </w:t>
      </w:r>
      <w:r w:rsidRPr="004A4BA7">
        <w:t xml:space="preserve">from </w:t>
      </w:r>
      <w:r w:rsidR="00A03FF2" w:rsidRPr="004A4BA7">
        <w:t xml:space="preserve">industry </w:t>
      </w:r>
      <w:r w:rsidRPr="004A4BA7">
        <w:t xml:space="preserve">members </w:t>
      </w:r>
      <w:r w:rsidR="00A03FF2" w:rsidRPr="004A4BA7">
        <w:t xml:space="preserve">on their </w:t>
      </w:r>
      <w:r w:rsidR="004C446C" w:rsidRPr="004A4BA7">
        <w:t xml:space="preserve">preliminary </w:t>
      </w:r>
      <w:r w:rsidR="00342F08" w:rsidRPr="004A4BA7">
        <w:t>views o</w:t>
      </w:r>
      <w:r w:rsidR="004C446C" w:rsidRPr="004A4BA7">
        <w:t>n</w:t>
      </w:r>
      <w:r w:rsidR="00342F08" w:rsidRPr="004A4BA7">
        <w:t xml:space="preserve"> </w:t>
      </w:r>
      <w:r w:rsidR="00A03FF2" w:rsidRPr="004A4BA7">
        <w:t>implement</w:t>
      </w:r>
      <w:r w:rsidR="00342F08" w:rsidRPr="004A4BA7">
        <w:t>ing</w:t>
      </w:r>
      <w:r w:rsidR="00A03FF2" w:rsidRPr="004A4BA7">
        <w:t xml:space="preserve"> </w:t>
      </w:r>
      <w:r w:rsidR="00342F08" w:rsidRPr="004A4BA7">
        <w:t xml:space="preserve">– </w:t>
      </w:r>
      <w:r w:rsidR="00A03FF2" w:rsidRPr="004A4BA7">
        <w:t>or not</w:t>
      </w:r>
      <w:r w:rsidR="00342F08" w:rsidRPr="004A4BA7">
        <w:t xml:space="preserve"> – </w:t>
      </w:r>
      <w:r w:rsidR="00A03FF2" w:rsidRPr="004A4BA7">
        <w:t xml:space="preserve">a morning </w:t>
      </w:r>
      <w:r w:rsidR="00F37969" w:rsidRPr="004A4BA7">
        <w:t>p</w:t>
      </w:r>
      <w:r w:rsidR="00A03FF2" w:rsidRPr="004A4BA7">
        <w:t xml:space="preserve">ayment </w:t>
      </w:r>
      <w:r w:rsidR="00F37969" w:rsidRPr="004A4BA7">
        <w:t>e</w:t>
      </w:r>
      <w:r w:rsidR="00A03FF2" w:rsidRPr="004A4BA7">
        <w:t xml:space="preserve">xchange </w:t>
      </w:r>
      <w:r w:rsidR="009244EE" w:rsidRPr="004A4BA7">
        <w:t xml:space="preserve">on T+2 </w:t>
      </w:r>
      <w:r w:rsidR="00A03FF2" w:rsidRPr="004A4BA7">
        <w:t>in Canada</w:t>
      </w:r>
      <w:r w:rsidR="000A2B02" w:rsidRPr="004A4BA7">
        <w:t>,</w:t>
      </w:r>
      <w:r w:rsidR="007D1277" w:rsidRPr="004A4BA7">
        <w:t xml:space="preserve"> including:</w:t>
      </w:r>
    </w:p>
    <w:p w14:paraId="746ABBC4" w14:textId="26FE6751" w:rsidR="00B5736C" w:rsidRPr="004A4BA7" w:rsidRDefault="008D3843" w:rsidP="00923137">
      <w:pPr>
        <w:pStyle w:val="ListParagraph"/>
        <w:widowControl w:val="0"/>
        <w:numPr>
          <w:ilvl w:val="0"/>
          <w:numId w:val="5"/>
        </w:numPr>
        <w:tabs>
          <w:tab w:val="left" w:pos="4050"/>
        </w:tabs>
        <w:autoSpaceDE w:val="0"/>
        <w:autoSpaceDN w:val="0"/>
        <w:adjustRightInd w:val="0"/>
        <w:spacing w:line="240" w:lineRule="auto"/>
        <w:rPr>
          <w:rFonts w:eastAsia="Times New Roman" w:cs="Arial"/>
        </w:rPr>
      </w:pPr>
      <w:r w:rsidRPr="004A4BA7">
        <w:rPr>
          <w:rFonts w:eastAsia="Times New Roman" w:cs="Arial"/>
        </w:rPr>
        <w:t>I</w:t>
      </w:r>
      <w:r w:rsidR="009244EE" w:rsidRPr="004A4BA7">
        <w:rPr>
          <w:rFonts w:eastAsia="Times New Roman" w:cs="Arial"/>
        </w:rPr>
        <w:t xml:space="preserve">dentifying potential </w:t>
      </w:r>
      <w:r w:rsidR="00A03FF2" w:rsidRPr="004A4BA7">
        <w:rPr>
          <w:rFonts w:eastAsia="Times New Roman" w:cs="Arial"/>
        </w:rPr>
        <w:t>operational impact</w:t>
      </w:r>
      <w:r w:rsidR="000F1392" w:rsidRPr="004A4BA7">
        <w:rPr>
          <w:rFonts w:eastAsia="Times New Roman" w:cs="Arial"/>
        </w:rPr>
        <w:t>s</w:t>
      </w:r>
    </w:p>
    <w:p w14:paraId="581720CD" w14:textId="05FD1BA1" w:rsidR="000E5CB9" w:rsidRPr="004A4BA7" w:rsidRDefault="008D3843" w:rsidP="00923137">
      <w:pPr>
        <w:pStyle w:val="ListParagraph"/>
        <w:numPr>
          <w:ilvl w:val="0"/>
          <w:numId w:val="5"/>
        </w:numPr>
        <w:shd w:val="clear" w:color="auto" w:fill="FFFFFF"/>
        <w:spacing w:line="240" w:lineRule="auto"/>
        <w:rPr>
          <w:rFonts w:eastAsia="Times New Roman" w:cs="Arial"/>
        </w:rPr>
      </w:pPr>
      <w:r w:rsidRPr="004A4BA7">
        <w:rPr>
          <w:rFonts w:eastAsia="Times New Roman" w:cs="Arial"/>
        </w:rPr>
        <w:t>A</w:t>
      </w:r>
      <w:r w:rsidR="000F1392" w:rsidRPr="004A4BA7">
        <w:rPr>
          <w:rFonts w:eastAsia="Times New Roman" w:cs="Arial"/>
        </w:rPr>
        <w:t>ssess</w:t>
      </w:r>
      <w:r w:rsidR="00A86692" w:rsidRPr="004A4BA7">
        <w:rPr>
          <w:rFonts w:eastAsia="Times New Roman" w:cs="Arial"/>
        </w:rPr>
        <w:t>ing</w:t>
      </w:r>
      <w:r w:rsidR="000F1392" w:rsidRPr="004A4BA7">
        <w:rPr>
          <w:rFonts w:eastAsia="Times New Roman" w:cs="Arial"/>
        </w:rPr>
        <w:t xml:space="preserve"> </w:t>
      </w:r>
      <w:r w:rsidR="00A86692" w:rsidRPr="004A4BA7">
        <w:rPr>
          <w:rFonts w:eastAsia="Times New Roman" w:cs="Arial"/>
        </w:rPr>
        <w:t xml:space="preserve">possible </w:t>
      </w:r>
      <w:r w:rsidR="00A03FF2" w:rsidRPr="004A4BA7">
        <w:rPr>
          <w:rFonts w:eastAsia="Times New Roman" w:cs="Arial"/>
        </w:rPr>
        <w:t xml:space="preserve">financial </w:t>
      </w:r>
      <w:r w:rsidR="00B5736C" w:rsidRPr="004A4BA7">
        <w:rPr>
          <w:rFonts w:eastAsia="Times New Roman" w:cs="Arial"/>
        </w:rPr>
        <w:t>implications</w:t>
      </w:r>
    </w:p>
    <w:p w14:paraId="5A3F042C" w14:textId="4F7BABFD" w:rsidR="000E5CB9" w:rsidRPr="004A4BA7" w:rsidRDefault="008D3843" w:rsidP="00923137">
      <w:pPr>
        <w:pStyle w:val="ListParagraph"/>
        <w:numPr>
          <w:ilvl w:val="0"/>
          <w:numId w:val="5"/>
        </w:numPr>
        <w:shd w:val="clear" w:color="auto" w:fill="FFFFFF"/>
        <w:spacing w:line="240" w:lineRule="auto"/>
        <w:rPr>
          <w:rFonts w:eastAsia="Times New Roman" w:cs="Arial"/>
        </w:rPr>
      </w:pPr>
      <w:r w:rsidRPr="004A4BA7">
        <w:rPr>
          <w:rFonts w:eastAsia="Times New Roman" w:cs="Arial"/>
        </w:rPr>
        <w:t>C</w:t>
      </w:r>
      <w:r w:rsidR="000F1392" w:rsidRPr="004A4BA7">
        <w:rPr>
          <w:rFonts w:eastAsia="Times New Roman" w:cs="Arial"/>
        </w:rPr>
        <w:t>onsider</w:t>
      </w:r>
      <w:r w:rsidR="00A86692" w:rsidRPr="004A4BA7">
        <w:rPr>
          <w:rFonts w:eastAsia="Times New Roman" w:cs="Arial"/>
        </w:rPr>
        <w:t>ing</w:t>
      </w:r>
      <w:r w:rsidR="000F1392" w:rsidRPr="004A4BA7">
        <w:rPr>
          <w:rFonts w:eastAsia="Times New Roman" w:cs="Arial"/>
        </w:rPr>
        <w:t xml:space="preserve"> </w:t>
      </w:r>
      <w:r w:rsidR="00A03FF2" w:rsidRPr="004A4BA7">
        <w:rPr>
          <w:rFonts w:eastAsia="Times New Roman" w:cs="Arial"/>
        </w:rPr>
        <w:t xml:space="preserve">the preferred timing of </w:t>
      </w:r>
      <w:r w:rsidR="000F1392" w:rsidRPr="004A4BA7">
        <w:rPr>
          <w:rFonts w:eastAsia="Times New Roman" w:cs="Arial"/>
        </w:rPr>
        <w:t xml:space="preserve">any </w:t>
      </w:r>
      <w:r w:rsidR="00A03FF2" w:rsidRPr="004A4BA7">
        <w:rPr>
          <w:rFonts w:eastAsia="Times New Roman" w:cs="Arial"/>
        </w:rPr>
        <w:t>conversion</w:t>
      </w:r>
      <w:r w:rsidR="004F5172" w:rsidRPr="004A4BA7">
        <w:rPr>
          <w:rFonts w:eastAsia="Times New Roman" w:cs="Arial"/>
        </w:rPr>
        <w:t xml:space="preserve"> </w:t>
      </w:r>
      <w:r w:rsidR="000E5CB9" w:rsidRPr="004A4BA7">
        <w:rPr>
          <w:rFonts w:eastAsia="Times New Roman" w:cs="Arial"/>
        </w:rPr>
        <w:t xml:space="preserve">relative to the </w:t>
      </w:r>
      <w:r w:rsidR="00524A06" w:rsidRPr="004A4BA7">
        <w:rPr>
          <w:rFonts w:eastAsia="Times New Roman" w:cs="Arial"/>
        </w:rPr>
        <w:t>TMX</w:t>
      </w:r>
      <w:r w:rsidR="008F272C" w:rsidRPr="004A4BA7">
        <w:rPr>
          <w:rFonts w:eastAsia="Times New Roman" w:cs="Arial"/>
        </w:rPr>
        <w:t xml:space="preserve">’s </w:t>
      </w:r>
      <w:r w:rsidR="004F5172" w:rsidRPr="004A4BA7">
        <w:rPr>
          <w:rFonts w:eastAsia="Times New Roman" w:cs="Arial"/>
        </w:rPr>
        <w:t>Atlas</w:t>
      </w:r>
      <w:r w:rsidR="008F272C" w:rsidRPr="004A4BA7">
        <w:rPr>
          <w:rFonts w:eastAsia="Times New Roman" w:cs="Arial"/>
        </w:rPr>
        <w:t xml:space="preserve"> </w:t>
      </w:r>
      <w:r w:rsidR="000E5CB9" w:rsidRPr="004A4BA7">
        <w:rPr>
          <w:rFonts w:eastAsia="Times New Roman" w:cs="Arial"/>
        </w:rPr>
        <w:t xml:space="preserve">project </w:t>
      </w:r>
      <w:r w:rsidR="00B2639D" w:rsidRPr="004A4BA7">
        <w:rPr>
          <w:rFonts w:eastAsia="Times New Roman" w:cs="Arial"/>
        </w:rPr>
        <w:t xml:space="preserve">(a redesign of </w:t>
      </w:r>
      <w:r w:rsidR="00B2639D" w:rsidRPr="004A4BA7">
        <w:rPr>
          <w:rFonts w:cs="Arial"/>
        </w:rPr>
        <w:t>TMX/CDS’s depository and clearing functions)</w:t>
      </w:r>
    </w:p>
    <w:p w14:paraId="0CCAF762" w14:textId="61F93E51" w:rsidR="009D52B3" w:rsidRPr="004A4BA7" w:rsidRDefault="00836852" w:rsidP="00923137">
      <w:pPr>
        <w:pStyle w:val="ListParagraph"/>
        <w:numPr>
          <w:ilvl w:val="0"/>
          <w:numId w:val="5"/>
        </w:numPr>
        <w:shd w:val="clear" w:color="auto" w:fill="FFFFFF"/>
        <w:spacing w:line="240" w:lineRule="auto"/>
        <w:rPr>
          <w:rFonts w:eastAsia="Times New Roman" w:cs="Arial"/>
        </w:rPr>
      </w:pPr>
      <w:r w:rsidRPr="004A4BA7">
        <w:rPr>
          <w:rFonts w:eastAsia="Times New Roman" w:cs="Arial"/>
        </w:rPr>
        <w:t xml:space="preserve">Identifying </w:t>
      </w:r>
      <w:r w:rsidR="00D85EAD" w:rsidRPr="004A4BA7">
        <w:rPr>
          <w:rFonts w:eastAsia="Times New Roman" w:cs="Arial"/>
        </w:rPr>
        <w:t xml:space="preserve">any </w:t>
      </w:r>
      <w:r w:rsidR="009D52B3" w:rsidRPr="004A4BA7">
        <w:rPr>
          <w:rFonts w:eastAsia="Times New Roman" w:cs="Arial"/>
        </w:rPr>
        <w:t>information gaps</w:t>
      </w:r>
    </w:p>
    <w:p w14:paraId="7CCEA332" w14:textId="31D885BD" w:rsidR="00883742" w:rsidRPr="004A4BA7" w:rsidRDefault="00836852" w:rsidP="00923137">
      <w:pPr>
        <w:pStyle w:val="ListParagraph"/>
        <w:numPr>
          <w:ilvl w:val="0"/>
          <w:numId w:val="5"/>
        </w:numPr>
        <w:shd w:val="clear" w:color="auto" w:fill="FFFFFF"/>
        <w:spacing w:line="240" w:lineRule="auto"/>
        <w:rPr>
          <w:rFonts w:eastAsia="Times New Roman" w:cs="Arial"/>
        </w:rPr>
      </w:pPr>
      <w:r w:rsidRPr="004A4BA7">
        <w:rPr>
          <w:rFonts w:cs="Arial"/>
          <w:color w:val="000000"/>
        </w:rPr>
        <w:t>Assessing the r</w:t>
      </w:r>
      <w:r w:rsidR="00883742" w:rsidRPr="004A4BA7">
        <w:rPr>
          <w:rFonts w:cs="Arial"/>
          <w:color w:val="000000"/>
        </w:rPr>
        <w:t>isk of not being in synch with the U.S.:  low, medium, high</w:t>
      </w:r>
      <w:r w:rsidR="00883742" w:rsidRPr="004A4BA7" w:rsidDel="00883742">
        <w:rPr>
          <w:rFonts w:eastAsia="Times New Roman" w:cs="Arial"/>
        </w:rPr>
        <w:t xml:space="preserve"> </w:t>
      </w:r>
    </w:p>
    <w:p w14:paraId="7CE150F6" w14:textId="5A8F751B" w:rsidR="005230BD" w:rsidRPr="004A4BA7" w:rsidRDefault="00836852" w:rsidP="00635FF8">
      <w:pPr>
        <w:pStyle w:val="ListParagraph"/>
        <w:numPr>
          <w:ilvl w:val="0"/>
          <w:numId w:val="5"/>
        </w:numPr>
        <w:rPr>
          <w:rFonts w:eastAsia="Times New Roman" w:cs="Arial"/>
        </w:rPr>
      </w:pPr>
      <w:r w:rsidRPr="004A4BA7">
        <w:rPr>
          <w:rFonts w:cs="Arial"/>
          <w:color w:val="000000"/>
        </w:rPr>
        <w:t>Reviewing possible timing</w:t>
      </w:r>
      <w:r w:rsidR="00DC1FAB" w:rsidRPr="004A4BA7">
        <w:rPr>
          <w:rFonts w:cs="Arial"/>
          <w:color w:val="000000"/>
        </w:rPr>
        <w:t>:  before, at the same time, o</w:t>
      </w:r>
      <w:r w:rsidR="002D1D77" w:rsidRPr="004A4BA7">
        <w:rPr>
          <w:rFonts w:cs="Arial"/>
          <w:color w:val="000000"/>
        </w:rPr>
        <w:t>r</w:t>
      </w:r>
      <w:r w:rsidR="00DC1FAB" w:rsidRPr="004A4BA7">
        <w:rPr>
          <w:rFonts w:cs="Arial"/>
          <w:color w:val="000000"/>
        </w:rPr>
        <w:t xml:space="preserve"> after Atlas is fully implemented</w:t>
      </w:r>
      <w:r w:rsidR="00DC1FAB" w:rsidRPr="004A4BA7" w:rsidDel="00883742">
        <w:rPr>
          <w:rFonts w:eastAsia="Times New Roman" w:cs="Arial"/>
        </w:rPr>
        <w:t xml:space="preserve"> </w:t>
      </w:r>
    </w:p>
    <w:p w14:paraId="454F6326" w14:textId="493F8A57" w:rsidR="009D52B3" w:rsidRPr="004A4BA7" w:rsidRDefault="00367EEC" w:rsidP="00923137">
      <w:pPr>
        <w:pStyle w:val="ListParagraph"/>
        <w:numPr>
          <w:ilvl w:val="0"/>
          <w:numId w:val="5"/>
        </w:numPr>
        <w:shd w:val="clear" w:color="auto" w:fill="FFFFFF"/>
        <w:spacing w:line="240" w:lineRule="auto"/>
        <w:rPr>
          <w:rFonts w:eastAsia="Times New Roman" w:cs="Arial"/>
        </w:rPr>
      </w:pPr>
      <w:r w:rsidRPr="004A4BA7">
        <w:rPr>
          <w:rFonts w:eastAsia="Times New Roman" w:cs="Arial"/>
        </w:rPr>
        <w:t xml:space="preserve">Providing the industry’s recommendation to the CCMA Board </w:t>
      </w:r>
      <w:r w:rsidR="00A03FF2" w:rsidRPr="004A4BA7">
        <w:rPr>
          <w:rFonts w:eastAsia="Times New Roman" w:cs="Arial"/>
        </w:rPr>
        <w:t xml:space="preserve">for </w:t>
      </w:r>
      <w:r w:rsidR="00F107A0" w:rsidRPr="004A4BA7">
        <w:rPr>
          <w:rFonts w:eastAsia="Times New Roman" w:cs="Arial"/>
        </w:rPr>
        <w:t>review</w:t>
      </w:r>
    </w:p>
    <w:p w14:paraId="188229CF" w14:textId="1C159AF6" w:rsidR="00DF31D0" w:rsidRPr="004A4BA7" w:rsidRDefault="009D52B3" w:rsidP="00923137">
      <w:pPr>
        <w:pStyle w:val="ListParagraph"/>
        <w:numPr>
          <w:ilvl w:val="0"/>
          <w:numId w:val="5"/>
        </w:numPr>
        <w:shd w:val="clear" w:color="auto" w:fill="FFFFFF"/>
        <w:spacing w:line="240" w:lineRule="auto"/>
        <w:rPr>
          <w:rFonts w:eastAsia="Times New Roman" w:cs="Arial"/>
        </w:rPr>
      </w:pPr>
      <w:r w:rsidRPr="004A4BA7">
        <w:rPr>
          <w:rFonts w:eastAsia="Times New Roman" w:cs="Arial"/>
        </w:rPr>
        <w:t xml:space="preserve">Submitting the recommendation to </w:t>
      </w:r>
      <w:r w:rsidR="00B220B8">
        <w:rPr>
          <w:rFonts w:eastAsia="Times New Roman" w:cs="Arial"/>
        </w:rPr>
        <w:t>CDS</w:t>
      </w:r>
      <w:r w:rsidRPr="004A4BA7">
        <w:rPr>
          <w:rFonts w:eastAsia="Times New Roman" w:cs="Arial"/>
        </w:rPr>
        <w:t xml:space="preserve"> for its </w:t>
      </w:r>
      <w:r w:rsidR="00A03FF2" w:rsidRPr="004A4BA7">
        <w:rPr>
          <w:rFonts w:eastAsia="Times New Roman" w:cs="Arial"/>
        </w:rPr>
        <w:t>consideration.</w:t>
      </w:r>
      <w:r w:rsidR="00A86692" w:rsidRPr="004A4BA7">
        <w:rPr>
          <w:rFonts w:eastAsia="Times New Roman" w:cs="Arial"/>
        </w:rPr>
        <w:t xml:space="preserve">  </w:t>
      </w:r>
    </w:p>
    <w:p w14:paraId="28F818B1" w14:textId="77777777" w:rsidR="00DC1FAB" w:rsidRPr="004A4BA7" w:rsidRDefault="00DC1FAB" w:rsidP="00CF7DDE">
      <w:pPr>
        <w:shd w:val="clear" w:color="auto" w:fill="FFFFFF"/>
        <w:spacing w:line="240" w:lineRule="auto"/>
        <w:ind w:left="360"/>
        <w:rPr>
          <w:rFonts w:eastAsia="Times New Roman" w:cs="Arial"/>
        </w:rPr>
      </w:pPr>
    </w:p>
    <w:p w14:paraId="595B7E5A" w14:textId="1D170C12" w:rsidR="00577F05" w:rsidRPr="004A4BA7" w:rsidRDefault="00577F05" w:rsidP="00D052A4">
      <w:pPr>
        <w:shd w:val="clear" w:color="auto" w:fill="FFFFFF"/>
        <w:spacing w:line="240" w:lineRule="auto"/>
        <w:ind w:left="360"/>
        <w:rPr>
          <w:rFonts w:eastAsia="Times New Roman" w:cs="Arial"/>
        </w:rPr>
      </w:pPr>
      <w:r w:rsidRPr="004A4BA7">
        <w:rPr>
          <w:rFonts w:eastAsia="Times New Roman" w:cs="Arial"/>
        </w:rPr>
        <w:t xml:space="preserve">The CCMA’s approach </w:t>
      </w:r>
      <w:r w:rsidR="00E40C15" w:rsidRPr="004A4BA7">
        <w:rPr>
          <w:rFonts w:eastAsia="Times New Roman" w:cs="Arial"/>
        </w:rPr>
        <w:t xml:space="preserve">to </w:t>
      </w:r>
      <w:r w:rsidR="00B60C30" w:rsidRPr="004A4BA7">
        <w:rPr>
          <w:rFonts w:eastAsia="Times New Roman" w:cs="Arial"/>
        </w:rPr>
        <w:t xml:space="preserve">measuring industry interest </w:t>
      </w:r>
      <w:r w:rsidR="00E40C15" w:rsidRPr="004A4BA7">
        <w:rPr>
          <w:rFonts w:eastAsia="Times New Roman" w:cs="Arial"/>
        </w:rPr>
        <w:t>wa</w:t>
      </w:r>
      <w:r w:rsidR="00E13439" w:rsidRPr="004A4BA7">
        <w:rPr>
          <w:rFonts w:eastAsia="Times New Roman" w:cs="Arial"/>
        </w:rPr>
        <w:t xml:space="preserve">s to assemble a group of industry experts representing different industry segments, different geographic locations, and different firm types to </w:t>
      </w:r>
      <w:r w:rsidR="00E40C15" w:rsidRPr="004A4BA7">
        <w:rPr>
          <w:rFonts w:eastAsia="Times New Roman" w:cs="Arial"/>
        </w:rPr>
        <w:t>provide guidance and input.</w:t>
      </w:r>
      <w:r w:rsidR="00B60C30" w:rsidRPr="004A4BA7">
        <w:rPr>
          <w:rFonts w:eastAsia="Times New Roman" w:cs="Arial"/>
        </w:rPr>
        <w:t xml:space="preserve"> </w:t>
      </w:r>
    </w:p>
    <w:p w14:paraId="11017080" w14:textId="77777777" w:rsidR="009D5B86" w:rsidRDefault="009D5B86" w:rsidP="00D052A4">
      <w:pPr>
        <w:shd w:val="clear" w:color="auto" w:fill="FFFFFF"/>
        <w:spacing w:line="240" w:lineRule="auto"/>
        <w:ind w:left="360"/>
        <w:rPr>
          <w:rFonts w:eastAsia="Times New Roman" w:cs="Arial"/>
        </w:rPr>
      </w:pPr>
    </w:p>
    <w:p w14:paraId="07DE7F3F" w14:textId="3738E536" w:rsidR="006A0107" w:rsidRPr="00A20E37" w:rsidRDefault="006A0107" w:rsidP="00B220B8">
      <w:pPr>
        <w:pStyle w:val="ListParagraph"/>
        <w:numPr>
          <w:ilvl w:val="0"/>
          <w:numId w:val="24"/>
        </w:numPr>
        <w:ind w:left="360"/>
        <w:rPr>
          <w:sz w:val="28"/>
          <w:szCs w:val="28"/>
        </w:rPr>
      </w:pPr>
      <w:bookmarkStart w:id="4" w:name="Background"/>
      <w:bookmarkStart w:id="5" w:name="_Toc5169405"/>
      <w:r w:rsidRPr="00A20E37">
        <w:rPr>
          <w:b/>
          <w:sz w:val="28"/>
          <w:szCs w:val="28"/>
        </w:rPr>
        <w:t>Background</w:t>
      </w:r>
      <w:bookmarkEnd w:id="4"/>
      <w:bookmarkEnd w:id="5"/>
    </w:p>
    <w:p w14:paraId="5E290F2A" w14:textId="5F14F55A" w:rsidR="00AC69D3" w:rsidRPr="003C6763" w:rsidRDefault="00AC69D3" w:rsidP="00CF7DDE">
      <w:pPr>
        <w:spacing w:line="240" w:lineRule="auto"/>
        <w:ind w:left="360"/>
      </w:pPr>
    </w:p>
    <w:p w14:paraId="4FA59FF3" w14:textId="162652A4" w:rsidR="00943E5B" w:rsidRPr="003C6763" w:rsidRDefault="00D809C9" w:rsidP="00CF7DDE">
      <w:pPr>
        <w:shd w:val="clear" w:color="auto" w:fill="FFFFFF"/>
        <w:spacing w:line="240" w:lineRule="auto"/>
        <w:ind w:left="360"/>
        <w:rPr>
          <w:rFonts w:eastAsia="Times New Roman" w:cs="Arial"/>
        </w:rPr>
      </w:pPr>
      <w:r>
        <w:rPr>
          <w:rFonts w:eastAsia="Times New Roman" w:cs="Arial"/>
        </w:rPr>
        <w:t xml:space="preserve">For many years, </w:t>
      </w:r>
      <w:r w:rsidR="005E279F" w:rsidRPr="007F4C59">
        <w:rPr>
          <w:rFonts w:eastAsia="Times New Roman" w:cs="Arial"/>
        </w:rPr>
        <w:t>Canad</w:t>
      </w:r>
      <w:r>
        <w:rPr>
          <w:rFonts w:eastAsia="Times New Roman" w:cs="Arial"/>
        </w:rPr>
        <w:t>ian</w:t>
      </w:r>
      <w:r w:rsidR="005E279F" w:rsidRPr="007F4C59">
        <w:rPr>
          <w:rFonts w:eastAsia="Times New Roman" w:cs="Arial"/>
        </w:rPr>
        <w:t xml:space="preserve"> and U.S. </w:t>
      </w:r>
      <w:r>
        <w:rPr>
          <w:rFonts w:eastAsia="Times New Roman" w:cs="Arial"/>
        </w:rPr>
        <w:t xml:space="preserve">capital </w:t>
      </w:r>
      <w:r w:rsidR="00676F47" w:rsidRPr="007F4C59">
        <w:rPr>
          <w:rFonts w:eastAsia="Times New Roman" w:cs="Arial"/>
        </w:rPr>
        <w:t xml:space="preserve">markets </w:t>
      </w:r>
      <w:r>
        <w:rPr>
          <w:rFonts w:eastAsia="Times New Roman" w:cs="Arial"/>
        </w:rPr>
        <w:t xml:space="preserve">have been in </w:t>
      </w:r>
      <w:r w:rsidR="00676F47" w:rsidRPr="007F4C59">
        <w:rPr>
          <w:rFonts w:eastAsia="Times New Roman" w:cs="Arial"/>
        </w:rPr>
        <w:t>synch</w:t>
      </w:r>
      <w:r>
        <w:rPr>
          <w:rFonts w:eastAsia="Times New Roman" w:cs="Arial"/>
        </w:rPr>
        <w:t xml:space="preserve"> in many ways</w:t>
      </w:r>
      <w:r w:rsidR="00504B6E">
        <w:rPr>
          <w:rFonts w:eastAsia="Times New Roman" w:cs="Arial"/>
        </w:rPr>
        <w:t xml:space="preserve"> given the interconnectedness of the two markets</w:t>
      </w:r>
      <w:r w:rsidR="00504B6E">
        <w:rPr>
          <w:rStyle w:val="FootnoteReference"/>
          <w:rFonts w:eastAsia="Times New Roman" w:cs="Arial"/>
        </w:rPr>
        <w:footnoteReference w:id="2"/>
      </w:r>
      <w:r w:rsidR="00A94A86">
        <w:rPr>
          <w:rFonts w:eastAsia="Times New Roman" w:cs="Arial"/>
        </w:rPr>
        <w:t xml:space="preserve">. </w:t>
      </w:r>
      <w:r w:rsidR="00C930BB">
        <w:rPr>
          <w:rFonts w:eastAsia="Times New Roman" w:cs="Arial"/>
        </w:rPr>
        <w:t xml:space="preserve"> </w:t>
      </w:r>
      <w:r w:rsidR="00D17016">
        <w:rPr>
          <w:rFonts w:eastAsia="Times New Roman" w:cs="Arial"/>
        </w:rPr>
        <w:t xml:space="preserve">In the late 1990s, when the U.S. began planning for a move to a T+1 settlement cycle, the CCMA commissioned </w:t>
      </w:r>
      <w:r w:rsidR="0078269B" w:rsidRPr="00C47454">
        <w:rPr>
          <w:rFonts w:cs="Arial"/>
        </w:rPr>
        <w:t xml:space="preserve">Charles River Associates </w:t>
      </w:r>
      <w:r w:rsidR="00D17016">
        <w:rPr>
          <w:rFonts w:cs="Arial"/>
        </w:rPr>
        <w:t xml:space="preserve">to </w:t>
      </w:r>
      <w:r w:rsidR="00EF77DA">
        <w:rPr>
          <w:rFonts w:cs="Arial"/>
        </w:rPr>
        <w:t xml:space="preserve">assess whether </w:t>
      </w:r>
      <w:r w:rsidR="002D1D77">
        <w:rPr>
          <w:rFonts w:cs="Arial"/>
        </w:rPr>
        <w:t xml:space="preserve">the </w:t>
      </w:r>
      <w:r w:rsidR="0078269B" w:rsidRPr="00C47454">
        <w:rPr>
          <w:rFonts w:cs="Arial"/>
        </w:rPr>
        <w:t xml:space="preserve">Canadian capital markets should </w:t>
      </w:r>
      <w:r w:rsidR="000741EA">
        <w:rPr>
          <w:rFonts w:cs="Arial"/>
        </w:rPr>
        <w:t xml:space="preserve">similarly </w:t>
      </w:r>
      <w:r w:rsidR="0078269B" w:rsidRPr="00C47454">
        <w:rPr>
          <w:rFonts w:cs="Arial"/>
        </w:rPr>
        <w:t>change the settlement cycle at the same time as the U.S.</w:t>
      </w:r>
      <w:r w:rsidR="00EF77DA">
        <w:rPr>
          <w:rFonts w:cs="Arial"/>
        </w:rPr>
        <w:t xml:space="preserve">  The</w:t>
      </w:r>
      <w:r w:rsidR="00A3374E">
        <w:rPr>
          <w:rFonts w:cs="Arial"/>
        </w:rPr>
        <w:t xml:space="preserve"> study</w:t>
      </w:r>
      <w:r w:rsidR="00B155C4">
        <w:rPr>
          <w:rStyle w:val="FootnoteReference"/>
          <w:rFonts w:cs="Arial"/>
        </w:rPr>
        <w:footnoteReference w:id="3"/>
      </w:r>
      <w:r w:rsidR="00EF77DA" w:rsidRPr="00C47454">
        <w:rPr>
          <w:rFonts w:cs="Arial"/>
        </w:rPr>
        <w:t xml:space="preserve"> (November 1999) </w:t>
      </w:r>
      <w:r w:rsidR="00EF77DA">
        <w:rPr>
          <w:rFonts w:cs="Arial"/>
        </w:rPr>
        <w:t xml:space="preserve">concluded that </w:t>
      </w:r>
      <w:r w:rsidR="002D1D77">
        <w:rPr>
          <w:rFonts w:cs="Arial"/>
        </w:rPr>
        <w:t xml:space="preserve">the </w:t>
      </w:r>
      <w:r w:rsidR="000741EA">
        <w:rPr>
          <w:rFonts w:cs="Arial"/>
        </w:rPr>
        <w:t xml:space="preserve">Canadian capital markets </w:t>
      </w:r>
      <w:r w:rsidR="00EF77DA">
        <w:rPr>
          <w:rFonts w:cs="Arial"/>
        </w:rPr>
        <w:t>should</w:t>
      </w:r>
      <w:r w:rsidR="000741EA">
        <w:rPr>
          <w:rFonts w:cs="Arial"/>
        </w:rPr>
        <w:t xml:space="preserve"> remain aligned with the U.S., harmonizing settlement cycles </w:t>
      </w:r>
      <w:r w:rsidR="0078269B" w:rsidRPr="00C47454">
        <w:rPr>
          <w:rFonts w:cs="Arial"/>
        </w:rPr>
        <w:t>neither before, nor after</w:t>
      </w:r>
      <w:r w:rsidR="000741EA">
        <w:rPr>
          <w:rFonts w:cs="Arial"/>
        </w:rPr>
        <w:t>, but at the same time as the U.S</w:t>
      </w:r>
      <w:r w:rsidR="0078269B" w:rsidRPr="00C47454">
        <w:rPr>
          <w:rFonts w:cs="Arial"/>
        </w:rPr>
        <w:t>.  Different settlement dates in Canada and the U.S.</w:t>
      </w:r>
      <w:r w:rsidR="00C930BB">
        <w:rPr>
          <w:rFonts w:cs="Arial"/>
        </w:rPr>
        <w:t>, the report stated,</w:t>
      </w:r>
      <w:r w:rsidR="0078269B" w:rsidRPr="00C47454">
        <w:rPr>
          <w:rFonts w:cs="Arial"/>
        </w:rPr>
        <w:t xml:space="preserve"> would increase risk, add to the cost of errors and manual corrections, cause Canadian firms to lose business, be confusing for investors, and potentially reduce client investment options.</w:t>
      </w:r>
      <w:r w:rsidR="00C558D6">
        <w:rPr>
          <w:rFonts w:cs="Arial"/>
        </w:rPr>
        <w:t xml:space="preserve">  </w:t>
      </w:r>
      <w:r w:rsidR="00676F47" w:rsidRPr="003C6763">
        <w:rPr>
          <w:rFonts w:eastAsia="Times New Roman" w:cs="Arial"/>
        </w:rPr>
        <w:t xml:space="preserve">In </w:t>
      </w:r>
      <w:r w:rsidR="00C930BB">
        <w:rPr>
          <w:rFonts w:eastAsia="Times New Roman" w:cs="Arial"/>
        </w:rPr>
        <w:t xml:space="preserve">September </w:t>
      </w:r>
      <w:r w:rsidR="00676F47" w:rsidRPr="003C6763">
        <w:rPr>
          <w:rFonts w:eastAsia="Times New Roman" w:cs="Arial"/>
        </w:rPr>
        <w:t xml:space="preserve">2017, </w:t>
      </w:r>
      <w:r w:rsidR="00C558D6">
        <w:rPr>
          <w:rFonts w:eastAsia="Times New Roman" w:cs="Arial"/>
        </w:rPr>
        <w:t xml:space="preserve">Canada and the U.S. </w:t>
      </w:r>
      <w:r w:rsidR="00676F47" w:rsidRPr="003C6763">
        <w:rPr>
          <w:rFonts w:eastAsia="Times New Roman" w:cs="Arial"/>
        </w:rPr>
        <w:t xml:space="preserve">shortened </w:t>
      </w:r>
      <w:r w:rsidR="00C558D6">
        <w:rPr>
          <w:rFonts w:eastAsia="Times New Roman" w:cs="Arial"/>
        </w:rPr>
        <w:t xml:space="preserve">the common </w:t>
      </w:r>
      <w:r w:rsidR="00676F47" w:rsidRPr="003C6763">
        <w:rPr>
          <w:rFonts w:eastAsia="Times New Roman" w:cs="Arial"/>
        </w:rPr>
        <w:t>settlem</w:t>
      </w:r>
      <w:r w:rsidR="0060557B" w:rsidRPr="003C6763">
        <w:rPr>
          <w:rFonts w:eastAsia="Times New Roman" w:cs="Arial"/>
        </w:rPr>
        <w:t xml:space="preserve">ent cycle </w:t>
      </w:r>
      <w:r w:rsidR="00C558D6">
        <w:rPr>
          <w:rFonts w:eastAsia="Times New Roman" w:cs="Arial"/>
        </w:rPr>
        <w:t>from T+3 to T+2.</w:t>
      </w:r>
      <w:r w:rsidR="00917198">
        <w:rPr>
          <w:rFonts w:eastAsia="Times New Roman" w:cs="Arial"/>
        </w:rPr>
        <w:t xml:space="preserve">  Regulators in both countries supported the move and </w:t>
      </w:r>
      <w:r w:rsidR="00CC6F88">
        <w:rPr>
          <w:rFonts w:eastAsia="Times New Roman" w:cs="Arial"/>
        </w:rPr>
        <w:t>intended to consider further developments.</w:t>
      </w:r>
      <w:r w:rsidR="00C930BB">
        <w:rPr>
          <w:rFonts w:eastAsia="Times New Roman" w:cs="Arial"/>
        </w:rPr>
        <w:t xml:space="preserve">  Below is a review of work currently underway </w:t>
      </w:r>
      <w:r w:rsidR="00CB0773">
        <w:rPr>
          <w:rFonts w:eastAsia="Times New Roman" w:cs="Arial"/>
        </w:rPr>
        <w:t xml:space="preserve">in both countries </w:t>
      </w:r>
      <w:r w:rsidR="00C930BB">
        <w:rPr>
          <w:rFonts w:eastAsia="Times New Roman" w:cs="Arial"/>
        </w:rPr>
        <w:t>with respect to the settlement process.</w:t>
      </w:r>
    </w:p>
    <w:p w14:paraId="7295F913" w14:textId="77777777" w:rsidR="0060557B" w:rsidRPr="003C6763" w:rsidRDefault="0060557B" w:rsidP="00CF7DDE">
      <w:pPr>
        <w:shd w:val="clear" w:color="auto" w:fill="FFFFFF"/>
        <w:spacing w:line="240" w:lineRule="auto"/>
        <w:ind w:left="360"/>
        <w:rPr>
          <w:rFonts w:eastAsia="Times New Roman" w:cs="Arial"/>
          <w:u w:val="single"/>
        </w:rPr>
      </w:pPr>
    </w:p>
    <w:p w14:paraId="6BFFD9C5" w14:textId="569C3595" w:rsidR="005F0018" w:rsidRDefault="00866B48" w:rsidP="00D72A09">
      <w:pPr>
        <w:pStyle w:val="Heading2"/>
        <w:rPr>
          <w:rFonts w:eastAsia="Times New Roman"/>
        </w:rPr>
      </w:pPr>
      <w:r>
        <w:rPr>
          <w:rFonts w:eastAsia="Times New Roman"/>
        </w:rPr>
        <w:tab/>
      </w:r>
      <w:bookmarkStart w:id="6" w:name="_Toc5169406"/>
      <w:r w:rsidR="005F0018" w:rsidRPr="00047FF5">
        <w:rPr>
          <w:rFonts w:eastAsia="Times New Roman"/>
        </w:rPr>
        <w:t>U.S.</w:t>
      </w:r>
      <w:bookmarkEnd w:id="6"/>
    </w:p>
    <w:p w14:paraId="15FBE7DA" w14:textId="54704CB0" w:rsidR="00AC69D3" w:rsidRPr="003C6763" w:rsidRDefault="00AC69D3" w:rsidP="00DB2921">
      <w:pPr>
        <w:shd w:val="clear" w:color="auto" w:fill="FFFFFF"/>
        <w:spacing w:line="240" w:lineRule="auto"/>
        <w:ind w:left="900"/>
        <w:rPr>
          <w:rFonts w:eastAsia="Times New Roman" w:cs="Arial"/>
        </w:rPr>
      </w:pPr>
    </w:p>
    <w:p w14:paraId="6FE63FAA" w14:textId="5F78A581" w:rsidR="00A711CB" w:rsidRDefault="005E279F" w:rsidP="00DB2921">
      <w:pPr>
        <w:shd w:val="clear" w:color="auto" w:fill="FFFFFF"/>
        <w:spacing w:line="240" w:lineRule="auto"/>
        <w:ind w:left="900"/>
        <w:rPr>
          <w:rFonts w:eastAsia="Times New Roman" w:cs="Arial"/>
        </w:rPr>
      </w:pPr>
      <w:r w:rsidRPr="00715B25">
        <w:rPr>
          <w:rFonts w:eastAsia="Times New Roman" w:cs="Arial"/>
        </w:rPr>
        <w:t>Since the completion of T+2 in September of 2017, DTCC in the U.S. beg</w:t>
      </w:r>
      <w:r w:rsidR="00CA276D" w:rsidRPr="00715B25">
        <w:rPr>
          <w:rFonts w:eastAsia="Times New Roman" w:cs="Arial"/>
        </w:rPr>
        <w:t>an</w:t>
      </w:r>
      <w:r w:rsidRPr="00715B25">
        <w:rPr>
          <w:rFonts w:eastAsia="Times New Roman" w:cs="Arial"/>
        </w:rPr>
        <w:t xml:space="preserve"> looking at other alternatives for shortening the settlement period.</w:t>
      </w:r>
      <w:r w:rsidR="00F87075">
        <w:rPr>
          <w:rStyle w:val="FootnoteReference"/>
          <w:rFonts w:eastAsia="Times New Roman" w:cs="Arial"/>
        </w:rPr>
        <w:footnoteReference w:id="4"/>
      </w:r>
      <w:r w:rsidRPr="00715B25">
        <w:rPr>
          <w:rFonts w:eastAsia="Times New Roman" w:cs="Arial"/>
        </w:rPr>
        <w:t xml:space="preserve"> </w:t>
      </w:r>
      <w:r w:rsidR="0017771C">
        <w:rPr>
          <w:rFonts w:eastAsia="Times New Roman" w:cs="Arial"/>
        </w:rPr>
        <w:t xml:space="preserve"> </w:t>
      </w:r>
      <w:r w:rsidR="00A711CB" w:rsidRPr="000344BA">
        <w:rPr>
          <w:rFonts w:eastAsia="Times New Roman" w:cs="Arial"/>
        </w:rPr>
        <w:t xml:space="preserve">In January 2018, DTCC asked for comments on a document titled </w:t>
      </w:r>
      <w:hyperlink r:id="rId13" w:history="1">
        <w:r w:rsidR="00A711CB" w:rsidRPr="009241CA">
          <w:rPr>
            <w:rStyle w:val="Hyperlink"/>
            <w:rFonts w:eastAsia="Times New Roman" w:cs="Arial"/>
            <w:i/>
          </w:rPr>
          <w:t>Modernizing the U.S. Equity Markets Post-trade Infrastructure, a White Paper to the Industry</w:t>
        </w:r>
      </w:hyperlink>
      <w:r w:rsidR="00A711CB" w:rsidRPr="000344BA">
        <w:rPr>
          <w:rFonts w:eastAsia="Times New Roman" w:cs="Arial"/>
        </w:rPr>
        <w:t>.  It confirmed that there were as yet no formal plans for an industry-wide move to T+1, which was being analy</w:t>
      </w:r>
      <w:r w:rsidR="0008622A">
        <w:rPr>
          <w:rFonts w:eastAsia="Times New Roman" w:cs="Arial"/>
        </w:rPr>
        <w:t>z</w:t>
      </w:r>
      <w:r w:rsidR="00A711CB" w:rsidRPr="000344BA">
        <w:rPr>
          <w:rFonts w:eastAsia="Times New Roman" w:cs="Arial"/>
        </w:rPr>
        <w:t>ed, and noted that a co-ordinated comprehensive effort to shorten the cycle could be expensive and years away because equity clearing and settlement is just one part of interconnected financial markets.  Accelerating the settlement cycle would have upstream and downstream impacts on other parts of the market structure, including derivatives, securities lending, cash borrowing, foreign exchange and collateral processing, and so would be a much larger endeavour.  DTCC then proposed what could be achieved optionally and within its ambit at lower cost, earlier and with greater flexibility to achieve several goals:</w:t>
      </w:r>
    </w:p>
    <w:p w14:paraId="32723FC6" w14:textId="77777777" w:rsidR="00D866DB" w:rsidRPr="000344BA" w:rsidRDefault="00D866DB" w:rsidP="00DB2921">
      <w:pPr>
        <w:shd w:val="clear" w:color="auto" w:fill="FFFFFF"/>
        <w:spacing w:line="240" w:lineRule="auto"/>
        <w:ind w:left="900"/>
        <w:rPr>
          <w:rFonts w:eastAsia="Times New Roman" w:cs="Arial"/>
        </w:rPr>
      </w:pPr>
    </w:p>
    <w:p w14:paraId="6F2551DE" w14:textId="1161ADE3" w:rsidR="00A711CB" w:rsidRPr="00851AF6" w:rsidRDefault="00A711CB" w:rsidP="00923137">
      <w:pPr>
        <w:pStyle w:val="Heading8"/>
        <w:keepNext w:val="0"/>
        <w:keepLines w:val="0"/>
        <w:widowControl w:val="0"/>
        <w:numPr>
          <w:ilvl w:val="0"/>
          <w:numId w:val="9"/>
        </w:numPr>
        <w:autoSpaceDE w:val="0"/>
        <w:autoSpaceDN w:val="0"/>
        <w:spacing w:before="0" w:line="240" w:lineRule="auto"/>
        <w:ind w:left="1260"/>
        <w:rPr>
          <w:rFonts w:ascii="Arial" w:hAnsi="Arial" w:cs="Arial"/>
          <w:color w:val="auto"/>
          <w:sz w:val="22"/>
          <w:szCs w:val="22"/>
        </w:rPr>
      </w:pPr>
      <w:r w:rsidRPr="00851AF6">
        <w:rPr>
          <w:rFonts w:ascii="Arial" w:hAnsi="Arial" w:cs="Arial"/>
          <w:color w:val="auto"/>
          <w:sz w:val="22"/>
          <w:szCs w:val="22"/>
        </w:rPr>
        <w:t xml:space="preserve">significantly reduce capital </w:t>
      </w:r>
      <w:r w:rsidR="00B91039">
        <w:rPr>
          <w:rFonts w:ascii="Arial" w:hAnsi="Arial" w:cs="Arial"/>
          <w:color w:val="auto"/>
          <w:sz w:val="22"/>
          <w:szCs w:val="22"/>
        </w:rPr>
        <w:t xml:space="preserve">margin </w:t>
      </w:r>
      <w:r w:rsidRPr="00851AF6">
        <w:rPr>
          <w:rFonts w:ascii="Arial" w:hAnsi="Arial" w:cs="Arial"/>
          <w:color w:val="auto"/>
          <w:sz w:val="22"/>
          <w:szCs w:val="22"/>
        </w:rPr>
        <w:t>requirements</w:t>
      </w:r>
    </w:p>
    <w:p w14:paraId="05C2AE42" w14:textId="77777777" w:rsidR="00A711CB" w:rsidRPr="00851AF6" w:rsidRDefault="00A711CB" w:rsidP="00923137">
      <w:pPr>
        <w:pStyle w:val="Heading8"/>
        <w:keepNext w:val="0"/>
        <w:keepLines w:val="0"/>
        <w:widowControl w:val="0"/>
        <w:numPr>
          <w:ilvl w:val="0"/>
          <w:numId w:val="9"/>
        </w:numPr>
        <w:autoSpaceDE w:val="0"/>
        <w:autoSpaceDN w:val="0"/>
        <w:spacing w:before="0" w:line="240" w:lineRule="auto"/>
        <w:ind w:left="1260"/>
        <w:rPr>
          <w:rFonts w:ascii="Arial" w:hAnsi="Arial" w:cs="Arial"/>
          <w:color w:val="auto"/>
          <w:sz w:val="22"/>
          <w:szCs w:val="22"/>
        </w:rPr>
      </w:pPr>
      <w:r w:rsidRPr="00851AF6">
        <w:rPr>
          <w:rFonts w:ascii="Arial" w:hAnsi="Arial" w:cs="Arial"/>
          <w:color w:val="auto"/>
          <w:sz w:val="22"/>
          <w:szCs w:val="22"/>
        </w:rPr>
        <w:t>mitigate systemic risk of an unpredictable</w:t>
      </w:r>
      <w:r w:rsidRPr="00851AF6">
        <w:rPr>
          <w:rFonts w:ascii="Arial" w:hAnsi="Arial" w:cs="Arial"/>
          <w:color w:val="auto"/>
          <w:spacing w:val="-7"/>
          <w:sz w:val="22"/>
          <w:szCs w:val="22"/>
        </w:rPr>
        <w:t xml:space="preserve"> </w:t>
      </w:r>
      <w:r w:rsidRPr="00851AF6">
        <w:rPr>
          <w:rFonts w:ascii="Arial" w:hAnsi="Arial" w:cs="Arial"/>
          <w:color w:val="auto"/>
          <w:sz w:val="22"/>
          <w:szCs w:val="22"/>
        </w:rPr>
        <w:t>event</w:t>
      </w:r>
      <w:r w:rsidRPr="00851AF6">
        <w:rPr>
          <w:rFonts w:ascii="Arial" w:hAnsi="Arial" w:cs="Arial"/>
          <w:color w:val="auto"/>
          <w:spacing w:val="-7"/>
          <w:sz w:val="22"/>
          <w:szCs w:val="22"/>
        </w:rPr>
        <w:t xml:space="preserve"> </w:t>
      </w:r>
      <w:r w:rsidRPr="00851AF6">
        <w:rPr>
          <w:rFonts w:ascii="Arial" w:hAnsi="Arial" w:cs="Arial"/>
          <w:color w:val="auto"/>
          <w:sz w:val="22"/>
          <w:szCs w:val="22"/>
        </w:rPr>
        <w:t>affecting</w:t>
      </w:r>
      <w:r w:rsidRPr="00851AF6">
        <w:rPr>
          <w:rFonts w:ascii="Arial" w:hAnsi="Arial" w:cs="Arial"/>
          <w:color w:val="auto"/>
          <w:spacing w:val="-7"/>
          <w:sz w:val="22"/>
          <w:szCs w:val="22"/>
        </w:rPr>
        <w:t xml:space="preserve"> </w:t>
      </w:r>
      <w:r w:rsidRPr="00851AF6">
        <w:rPr>
          <w:rFonts w:ascii="Arial" w:hAnsi="Arial" w:cs="Arial"/>
          <w:color w:val="auto"/>
          <w:sz w:val="22"/>
          <w:szCs w:val="22"/>
        </w:rPr>
        <w:t>the</w:t>
      </w:r>
      <w:r w:rsidRPr="00851AF6">
        <w:rPr>
          <w:rFonts w:ascii="Arial" w:hAnsi="Arial" w:cs="Arial"/>
          <w:color w:val="auto"/>
          <w:spacing w:val="-7"/>
          <w:sz w:val="22"/>
          <w:szCs w:val="22"/>
        </w:rPr>
        <w:t xml:space="preserve"> </w:t>
      </w:r>
      <w:r w:rsidRPr="00851AF6">
        <w:rPr>
          <w:rFonts w:ascii="Arial" w:hAnsi="Arial" w:cs="Arial"/>
          <w:color w:val="auto"/>
          <w:sz w:val="22"/>
          <w:szCs w:val="22"/>
        </w:rPr>
        <w:t>transfer</w:t>
      </w:r>
      <w:r w:rsidRPr="00851AF6">
        <w:rPr>
          <w:rFonts w:ascii="Arial" w:hAnsi="Arial" w:cs="Arial"/>
          <w:color w:val="auto"/>
          <w:spacing w:val="-7"/>
          <w:sz w:val="22"/>
          <w:szCs w:val="22"/>
        </w:rPr>
        <w:t xml:space="preserve"> </w:t>
      </w:r>
      <w:r w:rsidRPr="00851AF6">
        <w:rPr>
          <w:rFonts w:ascii="Arial" w:hAnsi="Arial" w:cs="Arial"/>
          <w:color w:val="auto"/>
          <w:sz w:val="22"/>
          <w:szCs w:val="22"/>
        </w:rPr>
        <w:t>of</w:t>
      </w:r>
      <w:r w:rsidRPr="00851AF6">
        <w:rPr>
          <w:rFonts w:ascii="Arial" w:hAnsi="Arial" w:cs="Arial"/>
          <w:color w:val="auto"/>
          <w:spacing w:val="-7"/>
          <w:sz w:val="22"/>
          <w:szCs w:val="22"/>
        </w:rPr>
        <w:t xml:space="preserve"> </w:t>
      </w:r>
      <w:r w:rsidRPr="00851AF6">
        <w:rPr>
          <w:rFonts w:ascii="Arial" w:hAnsi="Arial" w:cs="Arial"/>
          <w:color w:val="auto"/>
          <w:sz w:val="22"/>
          <w:szCs w:val="22"/>
        </w:rPr>
        <w:t>cash</w:t>
      </w:r>
      <w:r w:rsidRPr="00851AF6">
        <w:rPr>
          <w:rFonts w:ascii="Arial" w:hAnsi="Arial" w:cs="Arial"/>
          <w:color w:val="auto"/>
          <w:spacing w:val="-7"/>
          <w:sz w:val="22"/>
          <w:szCs w:val="22"/>
        </w:rPr>
        <w:t xml:space="preserve"> </w:t>
      </w:r>
      <w:r w:rsidRPr="00851AF6">
        <w:rPr>
          <w:rFonts w:ascii="Arial" w:hAnsi="Arial" w:cs="Arial"/>
          <w:color w:val="auto"/>
          <w:sz w:val="22"/>
          <w:szCs w:val="22"/>
        </w:rPr>
        <w:t>or</w:t>
      </w:r>
      <w:r w:rsidRPr="00851AF6">
        <w:rPr>
          <w:rFonts w:ascii="Arial" w:hAnsi="Arial" w:cs="Arial"/>
          <w:color w:val="auto"/>
          <w:spacing w:val="-7"/>
          <w:sz w:val="22"/>
          <w:szCs w:val="22"/>
        </w:rPr>
        <w:t xml:space="preserve"> </w:t>
      </w:r>
      <w:r w:rsidRPr="00851AF6">
        <w:rPr>
          <w:rFonts w:ascii="Arial" w:hAnsi="Arial" w:cs="Arial"/>
          <w:color w:val="auto"/>
          <w:sz w:val="22"/>
          <w:szCs w:val="22"/>
        </w:rPr>
        <w:t>ownership</w:t>
      </w:r>
      <w:r w:rsidRPr="00851AF6">
        <w:rPr>
          <w:rFonts w:ascii="Arial" w:hAnsi="Arial" w:cs="Arial"/>
          <w:color w:val="auto"/>
          <w:spacing w:val="-8"/>
          <w:sz w:val="22"/>
          <w:szCs w:val="22"/>
        </w:rPr>
        <w:t xml:space="preserve"> </w:t>
      </w:r>
      <w:r w:rsidRPr="00851AF6">
        <w:rPr>
          <w:rFonts w:ascii="Arial" w:hAnsi="Arial" w:cs="Arial"/>
          <w:color w:val="auto"/>
          <w:sz w:val="22"/>
          <w:szCs w:val="22"/>
        </w:rPr>
        <w:t>of</w:t>
      </w:r>
      <w:r w:rsidRPr="00851AF6">
        <w:rPr>
          <w:rFonts w:ascii="Arial" w:hAnsi="Arial" w:cs="Arial"/>
          <w:color w:val="auto"/>
          <w:spacing w:val="-7"/>
          <w:sz w:val="22"/>
          <w:szCs w:val="22"/>
        </w:rPr>
        <w:t xml:space="preserve"> </w:t>
      </w:r>
      <w:r w:rsidRPr="00851AF6">
        <w:rPr>
          <w:rFonts w:ascii="Arial" w:hAnsi="Arial" w:cs="Arial"/>
          <w:color w:val="auto"/>
          <w:sz w:val="22"/>
          <w:szCs w:val="22"/>
        </w:rPr>
        <w:t>securities</w:t>
      </w:r>
      <w:r w:rsidRPr="00851AF6">
        <w:rPr>
          <w:rFonts w:ascii="Arial" w:hAnsi="Arial" w:cs="Arial"/>
          <w:color w:val="auto"/>
          <w:spacing w:val="-7"/>
          <w:sz w:val="22"/>
          <w:szCs w:val="22"/>
        </w:rPr>
        <w:t xml:space="preserve"> </w:t>
      </w:r>
      <w:r w:rsidRPr="00851AF6">
        <w:rPr>
          <w:rFonts w:ascii="Arial" w:hAnsi="Arial" w:cs="Arial"/>
          <w:color w:val="auto"/>
          <w:sz w:val="22"/>
          <w:szCs w:val="22"/>
        </w:rPr>
        <w:t>from</w:t>
      </w:r>
      <w:r w:rsidRPr="00851AF6">
        <w:rPr>
          <w:rFonts w:ascii="Arial" w:hAnsi="Arial" w:cs="Arial"/>
          <w:color w:val="auto"/>
          <w:spacing w:val="-7"/>
          <w:sz w:val="22"/>
          <w:szCs w:val="22"/>
        </w:rPr>
        <w:t xml:space="preserve"> </w:t>
      </w:r>
      <w:r w:rsidRPr="00851AF6">
        <w:rPr>
          <w:rFonts w:ascii="Arial" w:hAnsi="Arial" w:cs="Arial"/>
          <w:color w:val="auto"/>
          <w:sz w:val="22"/>
          <w:szCs w:val="22"/>
        </w:rPr>
        <w:t>the</w:t>
      </w:r>
      <w:r w:rsidRPr="00851AF6">
        <w:rPr>
          <w:rFonts w:ascii="Arial" w:hAnsi="Arial" w:cs="Arial"/>
          <w:color w:val="auto"/>
          <w:spacing w:val="-7"/>
          <w:sz w:val="22"/>
          <w:szCs w:val="22"/>
        </w:rPr>
        <w:t xml:space="preserve"> </w:t>
      </w:r>
      <w:r w:rsidRPr="00851AF6">
        <w:rPr>
          <w:rFonts w:ascii="Arial" w:hAnsi="Arial" w:cs="Arial"/>
          <w:color w:val="auto"/>
          <w:sz w:val="22"/>
          <w:szCs w:val="22"/>
        </w:rPr>
        <w:t>point</w:t>
      </w:r>
      <w:r w:rsidRPr="00851AF6">
        <w:rPr>
          <w:rFonts w:ascii="Arial" w:hAnsi="Arial" w:cs="Arial"/>
          <w:color w:val="auto"/>
          <w:spacing w:val="-7"/>
          <w:sz w:val="22"/>
          <w:szCs w:val="22"/>
        </w:rPr>
        <w:t xml:space="preserve"> </w:t>
      </w:r>
      <w:r w:rsidRPr="00851AF6">
        <w:rPr>
          <w:rFonts w:ascii="Arial" w:hAnsi="Arial" w:cs="Arial"/>
          <w:color w:val="auto"/>
          <w:sz w:val="22"/>
          <w:szCs w:val="22"/>
        </w:rPr>
        <w:t>of execution through settlement</w:t>
      </w:r>
    </w:p>
    <w:p w14:paraId="18A3D027" w14:textId="77777777" w:rsidR="00A711CB" w:rsidRPr="00851AF6" w:rsidRDefault="00A711CB" w:rsidP="00923137">
      <w:pPr>
        <w:pStyle w:val="Heading8"/>
        <w:keepNext w:val="0"/>
        <w:keepLines w:val="0"/>
        <w:widowControl w:val="0"/>
        <w:numPr>
          <w:ilvl w:val="0"/>
          <w:numId w:val="9"/>
        </w:numPr>
        <w:autoSpaceDE w:val="0"/>
        <w:autoSpaceDN w:val="0"/>
        <w:spacing w:before="0" w:line="240" w:lineRule="auto"/>
        <w:ind w:left="1260"/>
        <w:rPr>
          <w:rFonts w:ascii="Arial" w:hAnsi="Arial" w:cs="Arial"/>
          <w:color w:val="auto"/>
          <w:sz w:val="22"/>
          <w:szCs w:val="22"/>
        </w:rPr>
      </w:pPr>
      <w:r w:rsidRPr="00851AF6">
        <w:rPr>
          <w:rFonts w:ascii="Arial" w:hAnsi="Arial" w:cs="Arial"/>
          <w:color w:val="auto"/>
          <w:sz w:val="22"/>
          <w:szCs w:val="22"/>
        </w:rPr>
        <w:t xml:space="preserve">lower operational costs </w:t>
      </w:r>
    </w:p>
    <w:p w14:paraId="5F752828" w14:textId="77777777" w:rsidR="00A711CB" w:rsidRPr="00851AF6" w:rsidRDefault="00A711CB" w:rsidP="00923137">
      <w:pPr>
        <w:pStyle w:val="Heading8"/>
        <w:keepNext w:val="0"/>
        <w:keepLines w:val="0"/>
        <w:widowControl w:val="0"/>
        <w:numPr>
          <w:ilvl w:val="0"/>
          <w:numId w:val="9"/>
        </w:numPr>
        <w:autoSpaceDE w:val="0"/>
        <w:autoSpaceDN w:val="0"/>
        <w:spacing w:before="0" w:line="240" w:lineRule="auto"/>
        <w:ind w:left="1260"/>
        <w:rPr>
          <w:rFonts w:ascii="Arial" w:hAnsi="Arial" w:cs="Arial"/>
          <w:color w:val="auto"/>
          <w:sz w:val="22"/>
          <w:szCs w:val="22"/>
        </w:rPr>
      </w:pPr>
      <w:r w:rsidRPr="00851AF6">
        <w:rPr>
          <w:rFonts w:ascii="Arial" w:hAnsi="Arial" w:cs="Arial"/>
          <w:color w:val="auto"/>
          <w:sz w:val="22"/>
          <w:szCs w:val="22"/>
        </w:rPr>
        <w:t>preserve the benefits of the current infrastructure.</w:t>
      </w:r>
    </w:p>
    <w:p w14:paraId="2C926504" w14:textId="77777777" w:rsidR="00A711CB" w:rsidRPr="00851AF6" w:rsidRDefault="00A711CB" w:rsidP="00726E84">
      <w:pPr>
        <w:pStyle w:val="BodyText"/>
        <w:ind w:left="900"/>
        <w:rPr>
          <w:rFonts w:ascii="Arial" w:hAnsi="Arial" w:cs="Arial"/>
          <w:sz w:val="22"/>
          <w:szCs w:val="22"/>
        </w:rPr>
      </w:pPr>
    </w:p>
    <w:p w14:paraId="073A262B" w14:textId="40FF1E8F" w:rsidR="00A711CB" w:rsidRPr="00216B63" w:rsidRDefault="00A711CB" w:rsidP="004A4BA7">
      <w:pPr>
        <w:pStyle w:val="Heading8"/>
        <w:keepNext w:val="0"/>
        <w:keepLines w:val="0"/>
        <w:spacing w:before="0" w:line="240" w:lineRule="auto"/>
        <w:ind w:left="907"/>
        <w:rPr>
          <w:rFonts w:ascii="Arial" w:hAnsi="Arial" w:cs="Arial"/>
          <w:color w:val="auto"/>
          <w:sz w:val="22"/>
          <w:szCs w:val="22"/>
        </w:rPr>
      </w:pPr>
      <w:r w:rsidRPr="00851AF6">
        <w:rPr>
          <w:rFonts w:ascii="Arial" w:hAnsi="Arial" w:cs="Arial"/>
          <w:color w:val="auto"/>
          <w:sz w:val="22"/>
          <w:szCs w:val="22"/>
        </w:rPr>
        <w:lastRenderedPageBreak/>
        <w:t>The white paper included two major proposals – settlement optimization and accelerated time to settlement</w:t>
      </w:r>
      <w:r w:rsidRPr="00851AF6">
        <w:rPr>
          <w:rFonts w:ascii="Arial" w:hAnsi="Arial" w:cs="Arial"/>
          <w:color w:val="auto"/>
          <w:sz w:val="22"/>
          <w:szCs w:val="22"/>
          <w:vertAlign w:val="superscript"/>
        </w:rPr>
        <w:footnoteReference w:id="5"/>
      </w:r>
      <w:r w:rsidRPr="00851AF6">
        <w:rPr>
          <w:rFonts w:ascii="Arial" w:hAnsi="Arial" w:cs="Arial"/>
          <w:color w:val="auto"/>
          <w:sz w:val="22"/>
          <w:szCs w:val="22"/>
        </w:rPr>
        <w:t xml:space="preserve"> – </w:t>
      </w:r>
      <w:r w:rsidR="005460BC">
        <w:rPr>
          <w:rFonts w:ascii="Arial" w:hAnsi="Arial" w:cs="Arial"/>
          <w:color w:val="auto"/>
          <w:sz w:val="22"/>
          <w:szCs w:val="22"/>
        </w:rPr>
        <w:t>both</w:t>
      </w:r>
      <w:r w:rsidRPr="00851AF6">
        <w:rPr>
          <w:rFonts w:ascii="Arial" w:hAnsi="Arial" w:cs="Arial"/>
          <w:color w:val="auto"/>
          <w:sz w:val="22"/>
          <w:szCs w:val="22"/>
        </w:rPr>
        <w:t xml:space="preserve"> which would also </w:t>
      </w:r>
      <w:r w:rsidR="0017771C">
        <w:rPr>
          <w:rFonts w:ascii="Arial" w:hAnsi="Arial" w:cs="Arial"/>
          <w:color w:val="auto"/>
          <w:sz w:val="22"/>
          <w:szCs w:val="22"/>
        </w:rPr>
        <w:t xml:space="preserve">help </w:t>
      </w:r>
      <w:r w:rsidRPr="00851AF6">
        <w:rPr>
          <w:rFonts w:ascii="Arial" w:hAnsi="Arial" w:cs="Arial"/>
          <w:color w:val="auto"/>
          <w:sz w:val="22"/>
          <w:szCs w:val="22"/>
        </w:rPr>
        <w:t>prepar</w:t>
      </w:r>
      <w:r w:rsidR="0017771C">
        <w:rPr>
          <w:rFonts w:ascii="Arial" w:hAnsi="Arial" w:cs="Arial"/>
          <w:color w:val="auto"/>
          <w:sz w:val="22"/>
          <w:szCs w:val="22"/>
        </w:rPr>
        <w:t>e</w:t>
      </w:r>
      <w:r w:rsidRPr="00851AF6">
        <w:rPr>
          <w:rFonts w:ascii="Arial" w:hAnsi="Arial" w:cs="Arial"/>
          <w:color w:val="auto"/>
          <w:sz w:val="22"/>
          <w:szCs w:val="22"/>
        </w:rPr>
        <w:t xml:space="preserve"> for </w:t>
      </w:r>
      <w:r w:rsidR="0017771C">
        <w:rPr>
          <w:rFonts w:ascii="Arial" w:hAnsi="Arial" w:cs="Arial"/>
          <w:color w:val="auto"/>
          <w:sz w:val="22"/>
          <w:szCs w:val="22"/>
        </w:rPr>
        <w:t xml:space="preserve">any </w:t>
      </w:r>
      <w:r w:rsidRPr="00851AF6">
        <w:rPr>
          <w:rFonts w:ascii="Arial" w:hAnsi="Arial" w:cs="Arial"/>
          <w:color w:val="auto"/>
          <w:sz w:val="22"/>
          <w:szCs w:val="22"/>
        </w:rPr>
        <w:t xml:space="preserve">move to a </w:t>
      </w:r>
      <w:r w:rsidRPr="00216B63">
        <w:rPr>
          <w:rFonts w:ascii="Arial" w:hAnsi="Arial" w:cs="Arial"/>
          <w:color w:val="auto"/>
          <w:sz w:val="22"/>
          <w:szCs w:val="22"/>
        </w:rPr>
        <w:t xml:space="preserve">shorter industry-wide settlement cycle.  </w:t>
      </w:r>
      <w:r w:rsidR="000528D5" w:rsidRPr="00216B63">
        <w:rPr>
          <w:rFonts w:ascii="Arial" w:hAnsi="Arial" w:cs="Arial"/>
          <w:color w:val="auto"/>
          <w:sz w:val="22"/>
          <w:szCs w:val="22"/>
        </w:rPr>
        <w:t>DTCC’s settlement optimization proposal aims to allow</w:t>
      </w:r>
      <w:r w:rsidR="000528D5" w:rsidRPr="00216B63">
        <w:rPr>
          <w:rFonts w:ascii="Arial" w:hAnsi="Arial" w:cs="Arial"/>
          <w:color w:val="auto"/>
          <w:spacing w:val="-4"/>
          <w:sz w:val="22"/>
          <w:szCs w:val="22"/>
        </w:rPr>
        <w:t xml:space="preserve"> for the </w:t>
      </w:r>
      <w:r w:rsidR="000528D5" w:rsidRPr="00216B63">
        <w:rPr>
          <w:rFonts w:ascii="Arial" w:hAnsi="Arial" w:cs="Arial"/>
          <w:color w:val="auto"/>
          <w:sz w:val="22"/>
          <w:szCs w:val="22"/>
        </w:rPr>
        <w:t>intraday</w:t>
      </w:r>
      <w:r w:rsidR="000528D5" w:rsidRPr="00216B63">
        <w:rPr>
          <w:rFonts w:ascii="Arial" w:hAnsi="Arial" w:cs="Arial"/>
          <w:color w:val="auto"/>
          <w:spacing w:val="-14"/>
          <w:sz w:val="22"/>
          <w:szCs w:val="22"/>
        </w:rPr>
        <w:t xml:space="preserve"> </w:t>
      </w:r>
      <w:r w:rsidR="000528D5" w:rsidRPr="00216B63">
        <w:rPr>
          <w:rFonts w:ascii="Arial" w:hAnsi="Arial" w:cs="Arial"/>
          <w:color w:val="auto"/>
          <w:sz w:val="22"/>
          <w:szCs w:val="22"/>
        </w:rPr>
        <w:t>movement</w:t>
      </w:r>
      <w:r w:rsidR="000528D5" w:rsidRPr="00216B63">
        <w:rPr>
          <w:rFonts w:ascii="Arial" w:hAnsi="Arial" w:cs="Arial"/>
          <w:color w:val="auto"/>
          <w:spacing w:val="-13"/>
          <w:sz w:val="22"/>
          <w:szCs w:val="22"/>
        </w:rPr>
        <w:t xml:space="preserve"> </w:t>
      </w:r>
      <w:r w:rsidR="000528D5" w:rsidRPr="00216B63">
        <w:rPr>
          <w:rFonts w:ascii="Arial" w:hAnsi="Arial" w:cs="Arial"/>
          <w:color w:val="auto"/>
          <w:sz w:val="22"/>
          <w:szCs w:val="22"/>
        </w:rPr>
        <w:t>and settlement of money and</w:t>
      </w:r>
      <w:r w:rsidR="000528D5" w:rsidRPr="00216B63">
        <w:rPr>
          <w:rFonts w:ascii="Arial" w:hAnsi="Arial" w:cs="Arial"/>
          <w:color w:val="auto"/>
          <w:spacing w:val="-10"/>
          <w:sz w:val="22"/>
          <w:szCs w:val="22"/>
        </w:rPr>
        <w:t xml:space="preserve"> </w:t>
      </w:r>
      <w:r w:rsidR="000528D5" w:rsidRPr="00216B63">
        <w:rPr>
          <w:rFonts w:ascii="Arial" w:hAnsi="Arial" w:cs="Arial"/>
          <w:color w:val="auto"/>
          <w:sz w:val="22"/>
          <w:szCs w:val="22"/>
        </w:rPr>
        <w:t xml:space="preserve">securities between the end of the night cycle between T+1 and T+2 and the movement of cash and securities at the end of the business day on T+2 – essentially removing an entire business day of market risk and cost, without a change </w:t>
      </w:r>
      <w:r w:rsidR="000528D5">
        <w:rPr>
          <w:rFonts w:ascii="Arial" w:hAnsi="Arial" w:cs="Arial"/>
          <w:color w:val="auto"/>
          <w:sz w:val="22"/>
          <w:szCs w:val="22"/>
        </w:rPr>
        <w:t xml:space="preserve">in the number of </w:t>
      </w:r>
      <w:r w:rsidR="000528D5" w:rsidRPr="00216B63">
        <w:rPr>
          <w:rFonts w:ascii="Arial" w:hAnsi="Arial" w:cs="Arial"/>
          <w:color w:val="auto"/>
          <w:sz w:val="22"/>
          <w:szCs w:val="22"/>
        </w:rPr>
        <w:t>calendar days</w:t>
      </w:r>
      <w:r w:rsidR="000528D5">
        <w:rPr>
          <w:rFonts w:ascii="Arial" w:hAnsi="Arial" w:cs="Arial"/>
          <w:color w:val="auto"/>
          <w:sz w:val="22"/>
          <w:szCs w:val="22"/>
        </w:rPr>
        <w:t xml:space="preserve">.  </w:t>
      </w:r>
      <w:r w:rsidRPr="00216B63">
        <w:rPr>
          <w:rFonts w:ascii="Arial" w:hAnsi="Arial" w:cs="Arial"/>
          <w:color w:val="auto"/>
          <w:sz w:val="22"/>
          <w:szCs w:val="22"/>
        </w:rPr>
        <w:t xml:space="preserve">The CCMA’s analysis for </w:t>
      </w:r>
      <w:r w:rsidR="00B220B8">
        <w:rPr>
          <w:rFonts w:ascii="Arial" w:hAnsi="Arial" w:cs="Arial"/>
          <w:color w:val="auto"/>
          <w:sz w:val="22"/>
          <w:szCs w:val="22"/>
        </w:rPr>
        <w:t>CDS</w:t>
      </w:r>
      <w:r w:rsidRPr="00216B63">
        <w:rPr>
          <w:rFonts w:ascii="Arial" w:hAnsi="Arial" w:cs="Arial"/>
          <w:color w:val="auto"/>
          <w:sz w:val="22"/>
          <w:szCs w:val="22"/>
        </w:rPr>
        <w:t xml:space="preserve"> focuses </w:t>
      </w:r>
      <w:r w:rsidR="001328E0">
        <w:rPr>
          <w:rFonts w:ascii="Arial" w:hAnsi="Arial" w:cs="Arial"/>
          <w:color w:val="auto"/>
          <w:sz w:val="22"/>
          <w:szCs w:val="22"/>
        </w:rPr>
        <w:t xml:space="preserve">only </w:t>
      </w:r>
      <w:r w:rsidRPr="00216B63">
        <w:rPr>
          <w:rFonts w:ascii="Arial" w:hAnsi="Arial" w:cs="Arial"/>
          <w:color w:val="auto"/>
          <w:sz w:val="22"/>
          <w:szCs w:val="22"/>
        </w:rPr>
        <w:t xml:space="preserve">on two interlinked aspects of the </w:t>
      </w:r>
      <w:r w:rsidR="00077736">
        <w:rPr>
          <w:rFonts w:ascii="Arial" w:hAnsi="Arial" w:cs="Arial"/>
          <w:color w:val="auto"/>
          <w:sz w:val="22"/>
          <w:szCs w:val="22"/>
        </w:rPr>
        <w:t xml:space="preserve">U.S. </w:t>
      </w:r>
      <w:r w:rsidRPr="00216B63">
        <w:rPr>
          <w:rFonts w:ascii="Arial" w:hAnsi="Arial" w:cs="Arial"/>
          <w:color w:val="auto"/>
          <w:sz w:val="22"/>
          <w:szCs w:val="22"/>
        </w:rPr>
        <w:t>settlement optimization proposal in the Canadian context.</w:t>
      </w:r>
    </w:p>
    <w:p w14:paraId="5CD6FFAF" w14:textId="77777777" w:rsidR="00A711CB" w:rsidRPr="00216B63" w:rsidRDefault="00A711CB" w:rsidP="00726E84">
      <w:pPr>
        <w:pStyle w:val="Heading8"/>
        <w:keepNext w:val="0"/>
        <w:keepLines w:val="0"/>
        <w:widowControl w:val="0"/>
        <w:spacing w:before="0" w:line="240" w:lineRule="auto"/>
        <w:ind w:left="900"/>
        <w:rPr>
          <w:rFonts w:ascii="Arial" w:hAnsi="Arial" w:cs="Arial"/>
          <w:color w:val="auto"/>
          <w:sz w:val="22"/>
          <w:szCs w:val="22"/>
        </w:rPr>
      </w:pPr>
    </w:p>
    <w:p w14:paraId="350788EB" w14:textId="77777777" w:rsidR="008E0FF1" w:rsidRDefault="00A711CB" w:rsidP="00635FF8">
      <w:pPr>
        <w:pStyle w:val="ListParagraph"/>
        <w:numPr>
          <w:ilvl w:val="0"/>
          <w:numId w:val="16"/>
        </w:numPr>
        <w:ind w:left="1260"/>
        <w:rPr>
          <w:rFonts w:cs="Arial"/>
        </w:rPr>
      </w:pPr>
      <w:r w:rsidRPr="00F46493">
        <w:rPr>
          <w:rFonts w:cs="Arial"/>
          <w:b/>
        </w:rPr>
        <w:t>Night-cycle re</w:t>
      </w:r>
      <w:r w:rsidR="000769C1" w:rsidRPr="00F46493">
        <w:rPr>
          <w:rFonts w:cs="Arial"/>
          <w:b/>
        </w:rPr>
        <w:t>-</w:t>
      </w:r>
      <w:r w:rsidRPr="00F46493">
        <w:rPr>
          <w:rFonts w:cs="Arial"/>
          <w:b/>
        </w:rPr>
        <w:t>engineering:</w:t>
      </w:r>
      <w:r w:rsidRPr="00F46493">
        <w:rPr>
          <w:rFonts w:cs="Arial"/>
        </w:rPr>
        <w:t xml:space="preserve">  </w:t>
      </w:r>
      <w:r w:rsidR="000344BA" w:rsidRPr="00F46493">
        <w:rPr>
          <w:rFonts w:eastAsia="Times New Roman" w:cs="Arial"/>
        </w:rPr>
        <w:t>DTCC investigat</w:t>
      </w:r>
      <w:r w:rsidR="00F658BD" w:rsidRPr="00F46493">
        <w:rPr>
          <w:rFonts w:eastAsia="Times New Roman" w:cs="Arial"/>
        </w:rPr>
        <w:t>ed</w:t>
      </w:r>
      <w:r w:rsidR="000344BA" w:rsidRPr="00F46493">
        <w:rPr>
          <w:rFonts w:eastAsia="Times New Roman" w:cs="Arial"/>
        </w:rPr>
        <w:t xml:space="preserve"> restructuring the overnight sequencing of system jobs to maximize the readiness of trades for settlement the following morning.  </w:t>
      </w:r>
      <w:r w:rsidR="00596871">
        <w:rPr>
          <w:rFonts w:eastAsia="Times New Roman" w:cs="Arial"/>
        </w:rPr>
        <w:t xml:space="preserve">DTCC then began exploring a methodology </w:t>
      </w:r>
      <w:r w:rsidR="00DE13D3" w:rsidRPr="00F46493">
        <w:rPr>
          <w:rFonts w:cs="Arial"/>
        </w:rPr>
        <w:t>a</w:t>
      </w:r>
      <w:r w:rsidRPr="00F46493">
        <w:rPr>
          <w:rFonts w:cs="Arial"/>
          <w:spacing w:val="-3"/>
        </w:rPr>
        <w:t xml:space="preserve">lgorithmically </w:t>
      </w:r>
      <w:r w:rsidRPr="00F46493">
        <w:rPr>
          <w:rFonts w:cs="Arial"/>
        </w:rPr>
        <w:t>analyz</w:t>
      </w:r>
      <w:r w:rsidR="00DE13D3" w:rsidRPr="00F46493">
        <w:rPr>
          <w:rFonts w:cs="Arial"/>
        </w:rPr>
        <w:t>ing</w:t>
      </w:r>
      <w:r w:rsidRPr="00F46493">
        <w:rPr>
          <w:rFonts w:cs="Arial"/>
        </w:rPr>
        <w:t xml:space="preserve"> participants’ available positions to prioritize and control </w:t>
      </w:r>
      <w:r w:rsidRPr="00F46493">
        <w:rPr>
          <w:rFonts w:eastAsia="Tahoma" w:cs="Arial"/>
          <w:lang w:bidi="en-US"/>
        </w:rPr>
        <w:t>the order in which transactions are processed</w:t>
      </w:r>
      <w:r w:rsidRPr="00F46493">
        <w:rPr>
          <w:rFonts w:cs="Arial"/>
        </w:rPr>
        <w:t xml:space="preserve"> (taking into account member priorities and instructions) to achieve the optimal percentage of settled</w:t>
      </w:r>
      <w:r w:rsidRPr="00F46493">
        <w:rPr>
          <w:rFonts w:cs="Arial"/>
          <w:spacing w:val="-3"/>
        </w:rPr>
        <w:t xml:space="preserve"> </w:t>
      </w:r>
      <w:r w:rsidRPr="00F46493">
        <w:rPr>
          <w:rFonts w:cs="Arial"/>
        </w:rPr>
        <w:t>transactions.</w:t>
      </w:r>
    </w:p>
    <w:p w14:paraId="47B945EB" w14:textId="77777777" w:rsidR="008E0FF1" w:rsidRDefault="008E0FF1" w:rsidP="00635FF8">
      <w:pPr>
        <w:pStyle w:val="ListParagraph"/>
        <w:ind w:left="1260"/>
        <w:rPr>
          <w:rFonts w:cs="Arial"/>
        </w:rPr>
      </w:pPr>
    </w:p>
    <w:p w14:paraId="29BC2ECD" w14:textId="4C8C77A8" w:rsidR="008E0FF1" w:rsidRDefault="008E0FF1" w:rsidP="00635FF8">
      <w:pPr>
        <w:pStyle w:val="ListParagraph"/>
        <w:numPr>
          <w:ilvl w:val="0"/>
          <w:numId w:val="16"/>
        </w:numPr>
        <w:ind w:left="1260"/>
      </w:pPr>
      <w:r>
        <w:rPr>
          <w:b/>
        </w:rPr>
        <w:t>I</w:t>
      </w:r>
      <w:r w:rsidR="00A711CB" w:rsidRPr="00851AF6">
        <w:rPr>
          <w:b/>
        </w:rPr>
        <w:t>ntraday settlement:</w:t>
      </w:r>
      <w:r w:rsidR="00A711CB" w:rsidRPr="00851AF6">
        <w:t xml:space="preserve">  </w:t>
      </w:r>
      <w:r w:rsidR="006079EF">
        <w:t xml:space="preserve">Night-cycle </w:t>
      </w:r>
      <w:r w:rsidR="00ED65ED">
        <w:t>r</w:t>
      </w:r>
      <w:r w:rsidR="006079EF">
        <w:t xml:space="preserve">e-engineering </w:t>
      </w:r>
      <w:r w:rsidR="0076418C">
        <w:t xml:space="preserve">was considered a prerequisite to the second part of settlement optimization: intraday settlement.  Intraday settlement would see </w:t>
      </w:r>
      <w:r w:rsidR="00A711CB" w:rsidRPr="00851AF6">
        <w:t>an</w:t>
      </w:r>
      <w:r w:rsidR="00A711CB" w:rsidRPr="00851AF6">
        <w:rPr>
          <w:spacing w:val="-5"/>
        </w:rPr>
        <w:t xml:space="preserve"> </w:t>
      </w:r>
      <w:r w:rsidR="00A711CB" w:rsidRPr="00851AF6">
        <w:t>additional</w:t>
      </w:r>
      <w:r w:rsidR="00A711CB" w:rsidRPr="00851AF6">
        <w:rPr>
          <w:spacing w:val="-5"/>
        </w:rPr>
        <w:t xml:space="preserve"> morning </w:t>
      </w:r>
      <w:r w:rsidR="00E81512">
        <w:rPr>
          <w:spacing w:val="-5"/>
        </w:rPr>
        <w:t xml:space="preserve">funds </w:t>
      </w:r>
      <w:r w:rsidR="00A711CB" w:rsidRPr="00851AF6">
        <w:t>settlement</w:t>
      </w:r>
      <w:r w:rsidR="00A711CB" w:rsidRPr="00851AF6">
        <w:rPr>
          <w:spacing w:val="-5"/>
        </w:rPr>
        <w:t xml:space="preserve"> cycle </w:t>
      </w:r>
      <w:r w:rsidR="00D143F4">
        <w:rPr>
          <w:spacing w:val="-5"/>
        </w:rPr>
        <w:t xml:space="preserve">or ‘slice’ </w:t>
      </w:r>
      <w:r w:rsidR="00C70791">
        <w:rPr>
          <w:spacing w:val="-5"/>
        </w:rPr>
        <w:t xml:space="preserve">(payment exchange) </w:t>
      </w:r>
      <w:r w:rsidR="00A711CB" w:rsidRPr="00851AF6">
        <w:rPr>
          <w:spacing w:val="-5"/>
        </w:rPr>
        <w:t>in DTC</w:t>
      </w:r>
      <w:r w:rsidR="00635FF8">
        <w:rPr>
          <w:spacing w:val="-5"/>
        </w:rPr>
        <w:t>C</w:t>
      </w:r>
      <w:r w:rsidR="00A711CB" w:rsidRPr="00851AF6">
        <w:rPr>
          <w:spacing w:val="-5"/>
        </w:rPr>
        <w:t xml:space="preserve"> and</w:t>
      </w:r>
      <w:r w:rsidR="000752DC" w:rsidRPr="000752DC">
        <w:t xml:space="preserve"> </w:t>
      </w:r>
      <w:r w:rsidR="000752DC" w:rsidRPr="000752DC">
        <w:rPr>
          <w:spacing w:val="-5"/>
        </w:rPr>
        <w:t xml:space="preserve">National Securities Clearing Corporation </w:t>
      </w:r>
      <w:r w:rsidR="003D0245">
        <w:rPr>
          <w:spacing w:val="-5"/>
        </w:rPr>
        <w:t>(</w:t>
      </w:r>
      <w:r w:rsidR="00A711CB" w:rsidRPr="00851AF6">
        <w:rPr>
          <w:spacing w:val="-5"/>
        </w:rPr>
        <w:t>NSCC</w:t>
      </w:r>
      <w:r w:rsidR="003D0245">
        <w:rPr>
          <w:spacing w:val="-5"/>
        </w:rPr>
        <w:t>)</w:t>
      </w:r>
      <w:r w:rsidR="00A711CB" w:rsidRPr="00851AF6">
        <w:rPr>
          <w:spacing w:val="-5"/>
        </w:rPr>
        <w:t xml:space="preserve"> </w:t>
      </w:r>
      <w:r w:rsidR="00C70791" w:rsidRPr="00715B25">
        <w:t xml:space="preserve">in addition to the end-of-day payment exchange </w:t>
      </w:r>
      <w:r w:rsidR="00E81512" w:rsidRPr="002431C1">
        <w:t>for transactions</w:t>
      </w:r>
      <w:r w:rsidR="00E81512">
        <w:rPr>
          <w:sz w:val="20"/>
          <w:szCs w:val="20"/>
        </w:rPr>
        <w:t xml:space="preserve"> </w:t>
      </w:r>
      <w:r w:rsidR="00E81512" w:rsidRPr="002431C1">
        <w:t>settled during the re</w:t>
      </w:r>
      <w:r w:rsidR="00D143F4">
        <w:t>-</w:t>
      </w:r>
      <w:r w:rsidR="00E81512" w:rsidRPr="002431C1">
        <w:t xml:space="preserve">engineered night cycle </w:t>
      </w:r>
      <w:r w:rsidR="00A711CB" w:rsidRPr="002431C1">
        <w:t>with intraday cross-endorsement (and settlement finality) of each participant’s DTC</w:t>
      </w:r>
      <w:r w:rsidR="00635FF8">
        <w:t>C</w:t>
      </w:r>
      <w:r w:rsidR="00A711CB" w:rsidRPr="002431C1">
        <w:t xml:space="preserve"> and NSCC settlement balances</w:t>
      </w:r>
      <w:r w:rsidR="002431C1" w:rsidRPr="002431C1">
        <w:t xml:space="preserve">.  This would </w:t>
      </w:r>
      <w:r w:rsidR="00A711CB" w:rsidRPr="002431C1">
        <w:t>free up liquidity by reducing intraday mark-to-market (MTM) and value-at-risk (VaR) calculations by NSCC, as settled trades are removed from DTC</w:t>
      </w:r>
      <w:r w:rsidR="00635FF8">
        <w:t>C</w:t>
      </w:r>
      <w:r w:rsidR="00A711CB" w:rsidRPr="002431C1">
        <w:t xml:space="preserve"> risk management controls, limiting market exposure to the transactions open as at the end of the latest settlement cycle (or ‘slice’</w:t>
      </w:r>
      <w:r w:rsidR="00A711CB" w:rsidRPr="00851AF6">
        <w:rPr>
          <w:spacing w:val="-4"/>
        </w:rPr>
        <w:t>)</w:t>
      </w:r>
      <w:r w:rsidR="00A711CB" w:rsidRPr="00851AF6">
        <w:rPr>
          <w:spacing w:val="-3"/>
        </w:rPr>
        <w:t>.</w:t>
      </w:r>
      <w:r w:rsidR="00C478FE">
        <w:rPr>
          <w:spacing w:val="-3"/>
        </w:rPr>
        <w:t xml:space="preserve">  </w:t>
      </w:r>
      <w:r w:rsidR="00C478FE">
        <w:t xml:space="preserve">DTCC </w:t>
      </w:r>
      <w:r w:rsidR="00FA31A3">
        <w:t>expected</w:t>
      </w:r>
      <w:r w:rsidR="00C478FE">
        <w:t xml:space="preserve"> </w:t>
      </w:r>
      <w:r w:rsidR="00C478FE" w:rsidRPr="008B10EB">
        <w:t xml:space="preserve">that this </w:t>
      </w:r>
      <w:r w:rsidR="009D0613" w:rsidRPr="00516410">
        <w:t xml:space="preserve">would </w:t>
      </w:r>
      <w:r w:rsidR="00C478FE" w:rsidRPr="00516410">
        <w:t>al</w:t>
      </w:r>
      <w:r w:rsidR="00C478FE">
        <w:t xml:space="preserve">low participants to </w:t>
      </w:r>
      <w:r w:rsidR="00DE13D3" w:rsidRPr="00C478FE">
        <w:t>settle as much as 90% of the trades before running the balance (</w:t>
      </w:r>
      <w:r w:rsidR="00ED65ED">
        <w:t xml:space="preserve">an estimated </w:t>
      </w:r>
      <w:r w:rsidR="00DE13D3" w:rsidRPr="00C478FE">
        <w:t xml:space="preserve">10%) of the </w:t>
      </w:r>
      <w:r w:rsidR="00D143F4">
        <w:t xml:space="preserve">remaining </w:t>
      </w:r>
      <w:r w:rsidR="00DE13D3" w:rsidRPr="00C478FE">
        <w:t>trades through their risk models</w:t>
      </w:r>
      <w:r w:rsidR="00C478FE">
        <w:t xml:space="preserve"> for settlement at end-of-day payment exchange</w:t>
      </w:r>
      <w:r w:rsidR="00DE13D3" w:rsidRPr="00C478FE">
        <w:t>.</w:t>
      </w:r>
    </w:p>
    <w:p w14:paraId="335C2D90" w14:textId="0DF4439C" w:rsidR="008E0FF1" w:rsidRDefault="008E0FF1" w:rsidP="009E263E">
      <w:pPr>
        <w:pStyle w:val="ListParagraph"/>
        <w:ind w:left="900"/>
        <w:rPr>
          <w:rFonts w:cs="Arial"/>
        </w:rPr>
      </w:pPr>
    </w:p>
    <w:p w14:paraId="6ED280B9" w14:textId="3594E082" w:rsidR="00421788" w:rsidRDefault="00421788" w:rsidP="009E263E">
      <w:pPr>
        <w:pStyle w:val="ListParagraph"/>
        <w:ind w:left="900"/>
        <w:rPr>
          <w:rFonts w:cs="Arial"/>
        </w:rPr>
      </w:pPr>
      <w:r w:rsidRPr="00CF7DDE">
        <w:t xml:space="preserve">More recently, DTCC began considering </w:t>
      </w:r>
      <w:r>
        <w:t>another option:</w:t>
      </w:r>
    </w:p>
    <w:p w14:paraId="31088AAF" w14:textId="77777777" w:rsidR="00421788" w:rsidRPr="009E263E" w:rsidRDefault="00421788" w:rsidP="009E263E">
      <w:pPr>
        <w:pStyle w:val="ListParagraph"/>
        <w:ind w:left="900"/>
        <w:rPr>
          <w:rFonts w:cs="Arial"/>
        </w:rPr>
      </w:pPr>
    </w:p>
    <w:p w14:paraId="1098BB5F" w14:textId="71001E4B" w:rsidR="008E0FF1" w:rsidRDefault="005C1DF2" w:rsidP="00635FF8">
      <w:pPr>
        <w:pStyle w:val="ListParagraph"/>
        <w:widowControl w:val="0"/>
        <w:numPr>
          <w:ilvl w:val="0"/>
          <w:numId w:val="17"/>
        </w:numPr>
        <w:autoSpaceDE w:val="0"/>
        <w:autoSpaceDN w:val="0"/>
        <w:spacing w:line="240" w:lineRule="auto"/>
        <w:ind w:left="1260"/>
        <w:rPr>
          <w:lang w:bidi="en-US"/>
        </w:rPr>
      </w:pPr>
      <w:r w:rsidRPr="00421788">
        <w:rPr>
          <w:b/>
        </w:rPr>
        <w:t xml:space="preserve">Alternative </w:t>
      </w:r>
      <w:r w:rsidR="006764C0">
        <w:rPr>
          <w:b/>
        </w:rPr>
        <w:t>continuous net settlement (</w:t>
      </w:r>
      <w:r w:rsidRPr="00421788">
        <w:rPr>
          <w:b/>
        </w:rPr>
        <w:t>CNS</w:t>
      </w:r>
      <w:r w:rsidR="006764C0">
        <w:rPr>
          <w:b/>
        </w:rPr>
        <w:t>)</w:t>
      </w:r>
      <w:r w:rsidRPr="00421788">
        <w:rPr>
          <w:b/>
        </w:rPr>
        <w:t xml:space="preserve"> settlement model:</w:t>
      </w:r>
      <w:r w:rsidRPr="00CF7DDE">
        <w:t xml:space="preserve"> </w:t>
      </w:r>
      <w:r>
        <w:t xml:space="preserve"> </w:t>
      </w:r>
      <w:r w:rsidR="00421788">
        <w:t>A</w:t>
      </w:r>
      <w:r w:rsidR="00CF7DDE">
        <w:t>n a</w:t>
      </w:r>
      <w:r w:rsidR="00CF7DDE" w:rsidRPr="00CF7DDE">
        <w:t>lternative CNS settlement model</w:t>
      </w:r>
      <w:r w:rsidR="00421788">
        <w:t xml:space="preserve"> was described as </w:t>
      </w:r>
      <w:r w:rsidR="00734AEF" w:rsidRPr="00CF7DDE">
        <w:t xml:space="preserve">a change </w:t>
      </w:r>
      <w:r w:rsidR="00CF7DDE">
        <w:t xml:space="preserve">that </w:t>
      </w:r>
      <w:r w:rsidR="00734AEF" w:rsidRPr="00CF7DDE">
        <w:t xml:space="preserve">would allow participants to use credits in NSCC to offset debits in </w:t>
      </w:r>
      <w:r w:rsidR="00635FF8">
        <w:t>DTCC</w:t>
      </w:r>
      <w:r w:rsidR="00734AEF" w:rsidRPr="00CF7DDE">
        <w:t xml:space="preserve">, reducing NSCC margin requirements.  CNS transactions would continue to be processed free of payment in </w:t>
      </w:r>
      <w:r w:rsidR="00635FF8">
        <w:t>DTCC</w:t>
      </w:r>
      <w:r w:rsidR="00734AEF" w:rsidRPr="00CF7DDE">
        <w:t xml:space="preserve"> but become subject to </w:t>
      </w:r>
      <w:r w:rsidR="00635FF8">
        <w:t>DTCC</w:t>
      </w:r>
      <w:r w:rsidR="00734AEF" w:rsidRPr="00CF7DDE">
        <w:t>’s normal risk controls.</w:t>
      </w:r>
      <w:r w:rsidR="00B014CD">
        <w:t xml:space="preserve">  </w:t>
      </w:r>
      <w:r w:rsidR="00635FF8">
        <w:rPr>
          <w:lang w:bidi="en-US"/>
        </w:rPr>
        <w:t>DTCC</w:t>
      </w:r>
      <w:r w:rsidR="00B014CD" w:rsidRPr="00B014CD">
        <w:rPr>
          <w:lang w:bidi="en-US"/>
        </w:rPr>
        <w:t xml:space="preserve"> </w:t>
      </w:r>
      <w:r w:rsidR="00B750AE">
        <w:rPr>
          <w:lang w:bidi="en-US"/>
        </w:rPr>
        <w:t xml:space="preserve">has been </w:t>
      </w:r>
      <w:r w:rsidR="00B014CD" w:rsidRPr="00B014CD">
        <w:rPr>
          <w:lang w:bidi="en-US"/>
        </w:rPr>
        <w:t>running simulations to quantify the impact of the alternative CNS settlement model, with preliminary findings being that most participants would see a decrease in NSCC margin requirements.</w:t>
      </w:r>
    </w:p>
    <w:p w14:paraId="441E8E2F" w14:textId="77777777" w:rsidR="008E0FF1" w:rsidRDefault="008E0FF1" w:rsidP="002037E4">
      <w:pPr>
        <w:widowControl w:val="0"/>
        <w:autoSpaceDE w:val="0"/>
        <w:autoSpaceDN w:val="0"/>
        <w:spacing w:line="240" w:lineRule="auto"/>
        <w:rPr>
          <w:lang w:bidi="en-US"/>
        </w:rPr>
      </w:pPr>
    </w:p>
    <w:p w14:paraId="39CFBDF9" w14:textId="31F40676" w:rsidR="0029231E" w:rsidRDefault="00EE3B6B" w:rsidP="00635FF8">
      <w:pPr>
        <w:widowControl w:val="0"/>
        <w:autoSpaceDE w:val="0"/>
        <w:autoSpaceDN w:val="0"/>
        <w:spacing w:line="240" w:lineRule="auto"/>
        <w:ind w:left="900"/>
        <w:rPr>
          <w:rFonts w:cs="Arial"/>
        </w:rPr>
      </w:pPr>
      <w:r w:rsidRPr="00EE3B6B">
        <w:rPr>
          <w:rFonts w:cs="Arial"/>
        </w:rPr>
        <w:t xml:space="preserve">While </w:t>
      </w:r>
      <w:r w:rsidR="00635FF8">
        <w:rPr>
          <w:rFonts w:cs="Arial"/>
        </w:rPr>
        <w:t>DTCC</w:t>
      </w:r>
      <w:r w:rsidR="0029231E" w:rsidRPr="00EE3B6B">
        <w:rPr>
          <w:rFonts w:cs="Arial"/>
        </w:rPr>
        <w:t xml:space="preserve"> </w:t>
      </w:r>
      <w:r w:rsidRPr="00EE3B6B">
        <w:rPr>
          <w:rFonts w:cs="Arial"/>
        </w:rPr>
        <w:t xml:space="preserve">has acted to </w:t>
      </w:r>
      <w:r w:rsidR="0029231E" w:rsidRPr="00EE3B6B">
        <w:rPr>
          <w:rFonts w:cs="Arial"/>
        </w:rPr>
        <w:t>create some early wins for clients and industry stakeholders, and targeted implementation dates in 2019 for both night cycle reengineering and the intraday settlement</w:t>
      </w:r>
      <w:r w:rsidRPr="00EE3B6B">
        <w:rPr>
          <w:rFonts w:cs="Arial"/>
        </w:rPr>
        <w:t xml:space="preserve">, </w:t>
      </w:r>
      <w:r w:rsidR="004C256F" w:rsidRPr="00EE3B6B">
        <w:rPr>
          <w:rFonts w:cs="Arial"/>
        </w:rPr>
        <w:t xml:space="preserve">some market participants </w:t>
      </w:r>
      <w:r w:rsidR="00063946" w:rsidRPr="00EE3B6B">
        <w:rPr>
          <w:rFonts w:cs="Arial"/>
        </w:rPr>
        <w:t xml:space="preserve">did </w:t>
      </w:r>
      <w:r w:rsidR="004C256F" w:rsidRPr="00EE3B6B">
        <w:rPr>
          <w:rFonts w:cs="Arial"/>
        </w:rPr>
        <w:t xml:space="preserve">not expect </w:t>
      </w:r>
      <w:r w:rsidR="00063946" w:rsidRPr="00EE3B6B">
        <w:rPr>
          <w:rFonts w:cs="Arial"/>
        </w:rPr>
        <w:t xml:space="preserve">to see </w:t>
      </w:r>
      <w:r w:rsidR="004C256F" w:rsidRPr="00EE3B6B">
        <w:rPr>
          <w:rFonts w:cs="Arial"/>
        </w:rPr>
        <w:t>intraday settlement before 2020.</w:t>
      </w:r>
    </w:p>
    <w:p w14:paraId="79A8986F" w14:textId="77777777" w:rsidR="00955091" w:rsidRDefault="00955091" w:rsidP="00635FF8">
      <w:pPr>
        <w:widowControl w:val="0"/>
        <w:autoSpaceDE w:val="0"/>
        <w:autoSpaceDN w:val="0"/>
        <w:spacing w:line="240" w:lineRule="auto"/>
        <w:ind w:left="900"/>
        <w:rPr>
          <w:rFonts w:cs="Arial"/>
        </w:rPr>
      </w:pPr>
    </w:p>
    <w:p w14:paraId="53ECC3AC" w14:textId="349FDEFC" w:rsidR="00955091" w:rsidRPr="00EE3B6B" w:rsidRDefault="00955091" w:rsidP="00635FF8">
      <w:pPr>
        <w:widowControl w:val="0"/>
        <w:autoSpaceDE w:val="0"/>
        <w:autoSpaceDN w:val="0"/>
        <w:spacing w:line="240" w:lineRule="auto"/>
        <w:ind w:left="900"/>
        <w:rPr>
          <w:rFonts w:cs="Arial"/>
        </w:rPr>
      </w:pPr>
      <w:r>
        <w:rPr>
          <w:rFonts w:cs="Arial"/>
        </w:rPr>
        <w:t xml:space="preserve">This latest proposal by DTCC would effectively put </w:t>
      </w:r>
      <w:r w:rsidR="00AB4232">
        <w:rPr>
          <w:rFonts w:cs="Arial"/>
        </w:rPr>
        <w:t xml:space="preserve">DTCC </w:t>
      </w:r>
      <w:r>
        <w:rPr>
          <w:rFonts w:cs="Arial"/>
        </w:rPr>
        <w:t>participants in exact</w:t>
      </w:r>
      <w:r w:rsidR="00AB4232">
        <w:rPr>
          <w:rFonts w:cs="Arial"/>
        </w:rPr>
        <w:t>ly the</w:t>
      </w:r>
      <w:r>
        <w:rPr>
          <w:rFonts w:cs="Arial"/>
        </w:rPr>
        <w:t xml:space="preserve"> same position as CDS participants are today</w:t>
      </w:r>
      <w:r w:rsidR="00497024">
        <w:rPr>
          <w:rFonts w:cs="Arial"/>
        </w:rPr>
        <w:t>:</w:t>
      </w:r>
      <w:r>
        <w:rPr>
          <w:rFonts w:cs="Arial"/>
        </w:rPr>
        <w:t xml:space="preserve"> </w:t>
      </w:r>
      <w:r w:rsidR="00497024">
        <w:rPr>
          <w:rFonts w:cs="Arial"/>
        </w:rPr>
        <w:t>t</w:t>
      </w:r>
      <w:r>
        <w:rPr>
          <w:rFonts w:cs="Arial"/>
        </w:rPr>
        <w:t>hat is, within CDS</w:t>
      </w:r>
      <w:r w:rsidR="00497024">
        <w:rPr>
          <w:rFonts w:cs="Arial"/>
        </w:rPr>
        <w:t>,</w:t>
      </w:r>
      <w:r>
        <w:rPr>
          <w:rFonts w:cs="Arial"/>
        </w:rPr>
        <w:t xml:space="preserve"> the participant benefits from having CDS perform </w:t>
      </w:r>
      <w:r w:rsidR="003C5FCD">
        <w:rPr>
          <w:rFonts w:cs="Arial"/>
        </w:rPr>
        <w:t xml:space="preserve">together </w:t>
      </w:r>
      <w:r>
        <w:rPr>
          <w:rFonts w:cs="Arial"/>
        </w:rPr>
        <w:t xml:space="preserve">the two functions performed separately </w:t>
      </w:r>
      <w:r w:rsidR="00497024">
        <w:rPr>
          <w:rFonts w:cs="Arial"/>
        </w:rPr>
        <w:t xml:space="preserve">(and unnetted) </w:t>
      </w:r>
      <w:r>
        <w:rPr>
          <w:rFonts w:cs="Arial"/>
        </w:rPr>
        <w:t>by NSCC and DTCC in the U.S.</w:t>
      </w:r>
    </w:p>
    <w:p w14:paraId="30F60187" w14:textId="5A517E70" w:rsidR="0029231E" w:rsidRDefault="0029231E" w:rsidP="001E1887">
      <w:pPr>
        <w:widowControl w:val="0"/>
        <w:autoSpaceDE w:val="0"/>
        <w:autoSpaceDN w:val="0"/>
        <w:spacing w:line="240" w:lineRule="auto"/>
        <w:ind w:left="900"/>
        <w:rPr>
          <w:rFonts w:cs="Arial"/>
        </w:rPr>
      </w:pPr>
    </w:p>
    <w:p w14:paraId="226CC668" w14:textId="0D783AC9" w:rsidR="00956E0F" w:rsidRDefault="00333901" w:rsidP="00D72A09">
      <w:pPr>
        <w:pStyle w:val="Heading2"/>
        <w:rPr>
          <w:rFonts w:eastAsia="Times New Roman"/>
        </w:rPr>
      </w:pPr>
      <w:r>
        <w:rPr>
          <w:rFonts w:eastAsia="Times New Roman"/>
        </w:rPr>
        <w:tab/>
      </w:r>
      <w:bookmarkStart w:id="7" w:name="_Toc5169407"/>
      <w:r w:rsidR="00956E0F" w:rsidRPr="00047FF5">
        <w:rPr>
          <w:rFonts w:eastAsia="Times New Roman"/>
        </w:rPr>
        <w:t>Canada</w:t>
      </w:r>
      <w:bookmarkEnd w:id="7"/>
    </w:p>
    <w:p w14:paraId="4204536E" w14:textId="77777777" w:rsidR="00956E0F" w:rsidRPr="00B1249A" w:rsidRDefault="00956E0F" w:rsidP="00956E0F">
      <w:pPr>
        <w:shd w:val="clear" w:color="auto" w:fill="FFFFFF"/>
        <w:spacing w:line="240" w:lineRule="auto"/>
        <w:ind w:left="360"/>
        <w:rPr>
          <w:rFonts w:eastAsia="Times New Roman" w:cs="Arial"/>
          <w:u w:val="single"/>
        </w:rPr>
      </w:pPr>
    </w:p>
    <w:p w14:paraId="3B018006" w14:textId="77777777" w:rsidR="00956E0F" w:rsidRPr="003C6763" w:rsidRDefault="00956E0F" w:rsidP="00956E0F">
      <w:pPr>
        <w:shd w:val="clear" w:color="auto" w:fill="FFFFFF"/>
        <w:spacing w:line="240" w:lineRule="auto"/>
        <w:ind w:left="900"/>
        <w:rPr>
          <w:rFonts w:eastAsia="Times New Roman" w:cs="Arial"/>
        </w:rPr>
      </w:pPr>
      <w:r>
        <w:rPr>
          <w:rFonts w:eastAsia="Times New Roman" w:cs="Arial"/>
        </w:rPr>
        <w:t>An account of Canada’s successful move to T+2 with the U.S. can be found summarized in the CCMA’s</w:t>
      </w:r>
      <w:r>
        <w:rPr>
          <w:rFonts w:ascii="Source Sans Pro" w:hAnsi="Source Sans Pro"/>
          <w:color w:val="343E47"/>
          <w:shd w:val="clear" w:color="auto" w:fill="FFFFFF"/>
        </w:rPr>
        <w:t xml:space="preserve"> </w:t>
      </w:r>
      <w:hyperlink r:id="rId14" w:history="1">
        <w:r w:rsidRPr="00151BF5">
          <w:rPr>
            <w:rStyle w:val="Hyperlink"/>
            <w:rFonts w:cs="Arial"/>
            <w:bCs/>
          </w:rPr>
          <w:t>T+2 Project:  Post-Mortem Report</w:t>
        </w:r>
      </w:hyperlink>
      <w:r w:rsidRPr="00151BF5">
        <w:rPr>
          <w:rStyle w:val="Hyperlink"/>
          <w:rFonts w:cs="Arial"/>
        </w:rPr>
        <w:t>,</w:t>
      </w:r>
      <w:r>
        <w:t xml:space="preserve"> published on April 19, 2018.  </w:t>
      </w:r>
      <w:r>
        <w:rPr>
          <w:rFonts w:eastAsia="Times New Roman" w:cs="Arial"/>
        </w:rPr>
        <w:t xml:space="preserve">Since then, the CCMA was asked to help co-ordinate </w:t>
      </w:r>
      <w:r w:rsidRPr="004C4313">
        <w:rPr>
          <w:rFonts w:cs="Arial"/>
        </w:rPr>
        <w:t xml:space="preserve">the </w:t>
      </w:r>
      <w:bookmarkStart w:id="8" w:name="_Hlk508742912"/>
      <w:r w:rsidRPr="004C4313">
        <w:rPr>
          <w:rFonts w:cs="Arial"/>
        </w:rPr>
        <w:t xml:space="preserve">Post-Trade Modernization Advisory Council working with participants of CDS and CDCC to co-ordinate, educate and communicate the work and efforts associated with the </w:t>
      </w:r>
      <w:hyperlink r:id="rId15" w:history="1">
        <w:r w:rsidRPr="004C4313">
          <w:rPr>
            <w:rStyle w:val="Hyperlink"/>
            <w:rFonts w:cs="Arial"/>
          </w:rPr>
          <w:t xml:space="preserve">TSX/CDS </w:t>
        </w:r>
        <w:r>
          <w:rPr>
            <w:rStyle w:val="Hyperlink"/>
            <w:rFonts w:cs="Arial"/>
          </w:rPr>
          <w:t xml:space="preserve">two-part </w:t>
        </w:r>
        <w:r w:rsidRPr="004C4313">
          <w:rPr>
            <w:rStyle w:val="Hyperlink"/>
            <w:rFonts w:cs="Arial"/>
          </w:rPr>
          <w:t>modernization</w:t>
        </w:r>
      </w:hyperlink>
      <w:r w:rsidRPr="004C4313">
        <w:rPr>
          <w:rFonts w:cs="Arial"/>
        </w:rPr>
        <w:t xml:space="preserve"> of its clearing, settlement, entitlement and corporate action systems</w:t>
      </w:r>
      <w:bookmarkEnd w:id="8"/>
      <w:r>
        <w:rPr>
          <w:rFonts w:cs="Arial"/>
        </w:rPr>
        <w:t xml:space="preserve">:  project Atlas will replace TMX/CDS’s current depository and clearing functions while project Mercury will replace TMX/CDS’s legacy </w:t>
      </w:r>
      <w:r w:rsidRPr="0094219A">
        <w:rPr>
          <w:rFonts w:cs="Arial"/>
        </w:rPr>
        <w:t>entitlements and corporate actions</w:t>
      </w:r>
      <w:r>
        <w:rPr>
          <w:rFonts w:cs="Arial"/>
        </w:rPr>
        <w:t xml:space="preserve"> processing systems</w:t>
      </w:r>
      <w:r w:rsidRPr="0094219A">
        <w:rPr>
          <w:rFonts w:cs="Arial"/>
        </w:rPr>
        <w:t>, as well as issuance eligibility applications</w:t>
      </w:r>
      <w:r>
        <w:rPr>
          <w:rFonts w:cs="Arial"/>
        </w:rPr>
        <w:t>.</w:t>
      </w:r>
    </w:p>
    <w:p w14:paraId="43993095" w14:textId="77777777" w:rsidR="00956E0F" w:rsidRDefault="00956E0F" w:rsidP="00956E0F">
      <w:pPr>
        <w:shd w:val="clear" w:color="auto" w:fill="FFFFFF"/>
        <w:spacing w:line="240" w:lineRule="auto"/>
        <w:ind w:left="900"/>
        <w:rPr>
          <w:rFonts w:eastAsia="Times New Roman" w:cs="Arial"/>
        </w:rPr>
      </w:pPr>
    </w:p>
    <w:p w14:paraId="3AE5D9EE" w14:textId="2C7AD997" w:rsidR="00956E0F" w:rsidRPr="0065031C" w:rsidRDefault="00956E0F" w:rsidP="00956E0F">
      <w:pPr>
        <w:widowControl w:val="0"/>
        <w:tabs>
          <w:tab w:val="left" w:pos="4050"/>
        </w:tabs>
        <w:autoSpaceDE w:val="0"/>
        <w:autoSpaceDN w:val="0"/>
        <w:adjustRightInd w:val="0"/>
        <w:spacing w:line="240" w:lineRule="auto"/>
        <w:ind w:left="900"/>
        <w:rPr>
          <w:rFonts w:cs="Arial"/>
          <w:color w:val="000000"/>
        </w:rPr>
      </w:pPr>
      <w:r w:rsidRPr="0065031C">
        <w:rPr>
          <w:rFonts w:cs="Arial"/>
          <w:color w:val="000000"/>
        </w:rPr>
        <w:t xml:space="preserve">CDS last summer undertook a limited </w:t>
      </w:r>
      <w:r w:rsidR="00B71A92">
        <w:rPr>
          <w:rFonts w:cs="Arial"/>
          <w:color w:val="000000"/>
        </w:rPr>
        <w:t xml:space="preserve">internal </w:t>
      </w:r>
      <w:r w:rsidRPr="0065031C">
        <w:rPr>
          <w:rFonts w:cs="Arial"/>
          <w:color w:val="000000"/>
        </w:rPr>
        <w:t xml:space="preserve">assessment of </w:t>
      </w:r>
      <w:r>
        <w:rPr>
          <w:rFonts w:cs="Arial"/>
          <w:color w:val="000000"/>
        </w:rPr>
        <w:t xml:space="preserve">payment-exchange-related change </w:t>
      </w:r>
      <w:r w:rsidRPr="0065031C">
        <w:rPr>
          <w:rFonts w:cs="Arial"/>
          <w:color w:val="000000"/>
        </w:rPr>
        <w:t>options at a high level</w:t>
      </w:r>
      <w:r>
        <w:rPr>
          <w:rFonts w:cs="Arial"/>
          <w:color w:val="000000"/>
        </w:rPr>
        <w:t xml:space="preserve"> in light of changes under consideration in the U.S.</w:t>
      </w:r>
      <w:r w:rsidRPr="0065031C">
        <w:rPr>
          <w:rFonts w:cs="Arial"/>
          <w:color w:val="000000"/>
        </w:rPr>
        <w:t xml:space="preserve">  While CDSX already has the </w:t>
      </w:r>
      <w:r>
        <w:rPr>
          <w:rFonts w:cs="Arial"/>
          <w:color w:val="000000"/>
        </w:rPr>
        <w:t>cap</w:t>
      </w:r>
      <w:r w:rsidRPr="0065031C">
        <w:rPr>
          <w:rFonts w:cs="Arial"/>
          <w:color w:val="000000"/>
        </w:rPr>
        <w:t xml:space="preserve">ability for intraday settlement/payment exchanges, there would need to be mainframe changes at CDS and a major issue </w:t>
      </w:r>
      <w:r>
        <w:rPr>
          <w:rFonts w:cs="Arial"/>
          <w:color w:val="000000"/>
        </w:rPr>
        <w:t xml:space="preserve">to consider </w:t>
      </w:r>
      <w:r w:rsidRPr="0065031C">
        <w:rPr>
          <w:rFonts w:cs="Arial"/>
          <w:color w:val="000000"/>
        </w:rPr>
        <w:t xml:space="preserve">is </w:t>
      </w:r>
      <w:r>
        <w:rPr>
          <w:rFonts w:cs="Arial"/>
          <w:color w:val="000000"/>
        </w:rPr>
        <w:t xml:space="preserve">impacts on </w:t>
      </w:r>
      <w:r w:rsidRPr="0065031C">
        <w:rPr>
          <w:rFonts w:cs="Arial"/>
          <w:color w:val="000000"/>
        </w:rPr>
        <w:t>up- and down-stream jobs at participants.  There are several scenarios that could be considered:</w:t>
      </w:r>
    </w:p>
    <w:p w14:paraId="1EE647C5" w14:textId="77777777" w:rsidR="00956E0F" w:rsidRPr="0065031C" w:rsidRDefault="00956E0F" w:rsidP="00956E0F">
      <w:pPr>
        <w:widowControl w:val="0"/>
        <w:tabs>
          <w:tab w:val="left" w:pos="4050"/>
        </w:tabs>
        <w:autoSpaceDE w:val="0"/>
        <w:autoSpaceDN w:val="0"/>
        <w:adjustRightInd w:val="0"/>
        <w:spacing w:line="240" w:lineRule="auto"/>
        <w:ind w:left="720"/>
        <w:rPr>
          <w:rFonts w:cs="Arial"/>
          <w:color w:val="000000"/>
        </w:rPr>
      </w:pPr>
    </w:p>
    <w:p w14:paraId="035C0EE9" w14:textId="0B83E1E9" w:rsidR="00956E0F" w:rsidRPr="00B220B8" w:rsidRDefault="00956E0F" w:rsidP="00B220B8">
      <w:pPr>
        <w:widowControl w:val="0"/>
        <w:spacing w:line="240" w:lineRule="auto"/>
        <w:ind w:left="900"/>
        <w:rPr>
          <w:rFonts w:cs="Arial"/>
          <w:lang w:val="en-CA"/>
        </w:rPr>
      </w:pPr>
      <w:r w:rsidRPr="00B220B8">
        <w:rPr>
          <w:rFonts w:cs="Arial"/>
          <w:color w:val="000000"/>
        </w:rPr>
        <w:t xml:space="preserve">Adding an additional settlement </w:t>
      </w:r>
      <w:r w:rsidR="00955091" w:rsidRPr="00B220B8">
        <w:rPr>
          <w:rFonts w:cs="Arial"/>
          <w:color w:val="000000"/>
        </w:rPr>
        <w:t>payment exchange</w:t>
      </w:r>
      <w:r w:rsidRPr="00B220B8">
        <w:rPr>
          <w:rFonts w:cs="Arial"/>
          <w:color w:val="000000"/>
        </w:rPr>
        <w:t xml:space="preserve"> in CDSX identical to the end-of-day payment exchange as under consideration in the U.S.:  Certain </w:t>
      </w:r>
      <w:r w:rsidRPr="00B220B8">
        <w:rPr>
          <w:rFonts w:cs="Arial"/>
          <w:lang w:val="en-CA"/>
        </w:rPr>
        <w:t xml:space="preserve">assumptions </w:t>
      </w:r>
      <w:r w:rsidRPr="00B220B8">
        <w:rPr>
          <w:rFonts w:cs="Arial"/>
        </w:rPr>
        <w:t>would have to</w:t>
      </w:r>
      <w:r w:rsidRPr="00B220B8">
        <w:rPr>
          <w:rFonts w:cs="Arial"/>
          <w:lang w:val="en-CA"/>
        </w:rPr>
        <w:t xml:space="preserve"> be made and impacts considered: </w:t>
      </w:r>
    </w:p>
    <w:p w14:paraId="7DB4B8EA" w14:textId="0E7B7A94" w:rsidR="00956E0F" w:rsidRPr="0065031C" w:rsidRDefault="00956E0F" w:rsidP="00B220B8">
      <w:pPr>
        <w:pStyle w:val="ListParagraph"/>
        <w:widowControl w:val="0"/>
        <w:numPr>
          <w:ilvl w:val="1"/>
          <w:numId w:val="11"/>
        </w:numPr>
        <w:spacing w:line="240" w:lineRule="auto"/>
        <w:ind w:left="1260"/>
        <w:rPr>
          <w:rFonts w:cs="Arial"/>
          <w:color w:val="000000"/>
        </w:rPr>
      </w:pPr>
      <w:r w:rsidRPr="0065031C">
        <w:rPr>
          <w:rFonts w:cs="Arial"/>
        </w:rPr>
        <w:t xml:space="preserve">If </w:t>
      </w:r>
      <w:r w:rsidRPr="0065031C">
        <w:rPr>
          <w:rFonts w:cs="Arial"/>
          <w:lang w:val="en-CA"/>
        </w:rPr>
        <w:t>the morning payment exchange</w:t>
      </w:r>
      <w:r w:rsidR="00E248D1">
        <w:rPr>
          <w:rFonts w:cs="Arial"/>
          <w:lang w:val="en-CA"/>
        </w:rPr>
        <w:t xml:space="preserve"> </w:t>
      </w:r>
      <w:r w:rsidRPr="0065031C">
        <w:rPr>
          <w:rFonts w:cs="Arial"/>
          <w:lang w:val="en-CA"/>
        </w:rPr>
        <w:t xml:space="preserve">were to take place at, say, 8:30 a.m., the process </w:t>
      </w:r>
      <w:r w:rsidR="00E248D1">
        <w:rPr>
          <w:rFonts w:cs="Arial"/>
          <w:lang w:val="en-CA"/>
        </w:rPr>
        <w:t xml:space="preserve">at CDS </w:t>
      </w:r>
      <w:r w:rsidRPr="0065031C">
        <w:rPr>
          <w:rFonts w:cs="Arial"/>
          <w:lang w:val="en-CA"/>
        </w:rPr>
        <w:t>would have to</w:t>
      </w:r>
      <w:r w:rsidRPr="0065031C">
        <w:rPr>
          <w:rFonts w:cs="Arial"/>
          <w:color w:val="000000"/>
        </w:rPr>
        <w:t xml:space="preserve"> start at 7:30 a.m. to allow the hour required to generate reports for participant review, implying:</w:t>
      </w:r>
    </w:p>
    <w:p w14:paraId="1926D2A9" w14:textId="77777777" w:rsidR="00956E0F" w:rsidRPr="0065031C" w:rsidRDefault="00956E0F" w:rsidP="00B220B8">
      <w:pPr>
        <w:pStyle w:val="ListParagraph"/>
        <w:widowControl w:val="0"/>
        <w:numPr>
          <w:ilvl w:val="3"/>
          <w:numId w:val="11"/>
        </w:numPr>
        <w:spacing w:line="240" w:lineRule="auto"/>
        <w:ind w:left="1620"/>
        <w:rPr>
          <w:rFonts w:cs="Arial"/>
          <w:color w:val="000000"/>
        </w:rPr>
      </w:pPr>
      <w:r w:rsidRPr="0065031C">
        <w:rPr>
          <w:rFonts w:cs="Arial"/>
          <w:color w:val="000000"/>
        </w:rPr>
        <w:t>an earlier start for participant staff OR</w:t>
      </w:r>
    </w:p>
    <w:p w14:paraId="016C555F" w14:textId="77777777" w:rsidR="00956E0F" w:rsidRPr="0065031C" w:rsidRDefault="00956E0F" w:rsidP="00B220B8">
      <w:pPr>
        <w:pStyle w:val="ListParagraph"/>
        <w:widowControl w:val="0"/>
        <w:numPr>
          <w:ilvl w:val="3"/>
          <w:numId w:val="11"/>
        </w:numPr>
        <w:spacing w:line="240" w:lineRule="auto"/>
        <w:ind w:left="1620"/>
        <w:rPr>
          <w:rFonts w:cs="Arial"/>
          <w:color w:val="000000"/>
        </w:rPr>
      </w:pPr>
      <w:r w:rsidRPr="0065031C">
        <w:rPr>
          <w:rFonts w:cs="Arial"/>
          <w:color w:val="000000"/>
        </w:rPr>
        <w:t>arrangements with third parties to manage the results for participants not changing internal processes OR</w:t>
      </w:r>
    </w:p>
    <w:p w14:paraId="3413C4ED" w14:textId="3F73BC03" w:rsidR="00956E0F" w:rsidRPr="0065031C" w:rsidRDefault="00956E0F" w:rsidP="00B220B8">
      <w:pPr>
        <w:pStyle w:val="ListParagraph"/>
        <w:widowControl w:val="0"/>
        <w:numPr>
          <w:ilvl w:val="3"/>
          <w:numId w:val="11"/>
        </w:numPr>
        <w:spacing w:line="240" w:lineRule="auto"/>
        <w:ind w:left="1620"/>
        <w:rPr>
          <w:rFonts w:cs="Arial"/>
          <w:color w:val="000000"/>
        </w:rPr>
      </w:pPr>
      <w:r w:rsidRPr="0065031C">
        <w:rPr>
          <w:rFonts w:cs="Arial"/>
          <w:color w:val="000000"/>
        </w:rPr>
        <w:t xml:space="preserve">the additional payment exchange being optional – which </w:t>
      </w:r>
      <w:r w:rsidR="00E248D1">
        <w:rPr>
          <w:rFonts w:cs="Arial"/>
          <w:color w:val="000000"/>
        </w:rPr>
        <w:t xml:space="preserve">may </w:t>
      </w:r>
      <w:r w:rsidRPr="0065031C">
        <w:rPr>
          <w:rFonts w:cs="Arial"/>
          <w:color w:val="000000"/>
        </w:rPr>
        <w:t>lead to additional issues</w:t>
      </w:r>
      <w:r w:rsidR="00B05630">
        <w:rPr>
          <w:rFonts w:cs="Arial"/>
          <w:color w:val="000000"/>
        </w:rPr>
        <w:t>.</w:t>
      </w:r>
    </w:p>
    <w:p w14:paraId="5E28DF9F" w14:textId="2C7F8555" w:rsidR="00956E0F" w:rsidRPr="00341531" w:rsidRDefault="00956E0F" w:rsidP="00B220B8">
      <w:pPr>
        <w:pStyle w:val="ListParagraph"/>
        <w:widowControl w:val="0"/>
        <w:numPr>
          <w:ilvl w:val="1"/>
          <w:numId w:val="11"/>
        </w:numPr>
        <w:spacing w:line="240" w:lineRule="auto"/>
        <w:ind w:left="1260"/>
        <w:rPr>
          <w:rFonts w:cs="Arial"/>
        </w:rPr>
      </w:pPr>
      <w:r w:rsidRPr="0065031C">
        <w:rPr>
          <w:rFonts w:cs="Arial"/>
        </w:rPr>
        <w:t xml:space="preserve">All operational cut-offs </w:t>
      </w:r>
      <w:r w:rsidR="00E248D1">
        <w:rPr>
          <w:rFonts w:cs="Arial"/>
        </w:rPr>
        <w:t xml:space="preserve">leading to </w:t>
      </w:r>
      <w:r w:rsidRPr="0065031C">
        <w:rPr>
          <w:rFonts w:cs="Arial"/>
        </w:rPr>
        <w:t xml:space="preserve">the morning payment exchange </w:t>
      </w:r>
      <w:r>
        <w:rPr>
          <w:rFonts w:cs="Arial"/>
        </w:rPr>
        <w:t xml:space="preserve">would have to </w:t>
      </w:r>
      <w:r w:rsidRPr="0065031C">
        <w:rPr>
          <w:rFonts w:cs="Arial"/>
        </w:rPr>
        <w:t xml:space="preserve">be identified by CDS and discussed with participants to determine </w:t>
      </w:r>
      <w:r w:rsidR="005F7AD3">
        <w:rPr>
          <w:rFonts w:cs="Arial"/>
        </w:rPr>
        <w:t>operational impacts.</w:t>
      </w:r>
      <w:r w:rsidRPr="0065031C">
        <w:rPr>
          <w:rFonts w:cs="Arial"/>
        </w:rPr>
        <w:t xml:space="preserve">  </w:t>
      </w:r>
      <w:r>
        <w:rPr>
          <w:rFonts w:cs="Arial"/>
        </w:rPr>
        <w:t xml:space="preserve">In particular, the interplay </w:t>
      </w:r>
      <w:r w:rsidR="00EC38D2">
        <w:rPr>
          <w:rFonts w:cs="Arial"/>
        </w:rPr>
        <w:t xml:space="preserve">between Canadian </w:t>
      </w:r>
      <w:r w:rsidR="00ED4718">
        <w:rPr>
          <w:rFonts w:cs="Arial"/>
        </w:rPr>
        <w:t xml:space="preserve">and U.S. </w:t>
      </w:r>
      <w:r>
        <w:rPr>
          <w:rFonts w:cs="Arial"/>
        </w:rPr>
        <w:t xml:space="preserve">cut-offs and equivalent processing in </w:t>
      </w:r>
      <w:r w:rsidR="003D0245" w:rsidRPr="003D0245">
        <w:rPr>
          <w:rFonts w:cs="Arial"/>
        </w:rPr>
        <w:t>The Depository Trust Company</w:t>
      </w:r>
      <w:r w:rsidR="003D0245">
        <w:rPr>
          <w:rFonts w:cs="Arial"/>
        </w:rPr>
        <w:t xml:space="preserve"> (</w:t>
      </w:r>
      <w:r>
        <w:rPr>
          <w:rFonts w:cs="Arial"/>
        </w:rPr>
        <w:t>DTC</w:t>
      </w:r>
      <w:r w:rsidR="003D0245">
        <w:rPr>
          <w:rFonts w:cs="Arial"/>
        </w:rPr>
        <w:t>)</w:t>
      </w:r>
      <w:r>
        <w:rPr>
          <w:rFonts w:cs="Arial"/>
        </w:rPr>
        <w:t xml:space="preserve"> and NSCC in the U.S., including the cross-guarantees between the</w:t>
      </w:r>
      <w:r w:rsidR="00ED4718">
        <w:rPr>
          <w:rFonts w:cs="Arial"/>
        </w:rPr>
        <w:t>se</w:t>
      </w:r>
      <w:r>
        <w:rPr>
          <w:rFonts w:cs="Arial"/>
        </w:rPr>
        <w:t xml:space="preserve"> two, would need to be studied</w:t>
      </w:r>
      <w:r w:rsidR="00893436">
        <w:rPr>
          <w:rFonts w:cs="Arial"/>
        </w:rPr>
        <w:t>.</w:t>
      </w:r>
    </w:p>
    <w:p w14:paraId="6117C415" w14:textId="6B4A7A6E" w:rsidR="00956E0F" w:rsidRPr="00341531" w:rsidRDefault="00956E0F" w:rsidP="00B220B8">
      <w:pPr>
        <w:pStyle w:val="ListParagraph"/>
        <w:widowControl w:val="0"/>
        <w:numPr>
          <w:ilvl w:val="1"/>
          <w:numId w:val="11"/>
        </w:numPr>
        <w:spacing w:line="240" w:lineRule="auto"/>
        <w:ind w:left="1260"/>
        <w:rPr>
          <w:rFonts w:cs="Arial"/>
        </w:rPr>
      </w:pPr>
      <w:r w:rsidRPr="00F96150">
        <w:rPr>
          <w:rFonts w:cs="Arial"/>
        </w:rPr>
        <w:t xml:space="preserve">Participants would need to adjust their </w:t>
      </w:r>
      <w:r w:rsidR="005F7AD3">
        <w:rPr>
          <w:rFonts w:cs="Arial"/>
        </w:rPr>
        <w:t>over</w:t>
      </w:r>
      <w:r w:rsidRPr="00F96150">
        <w:rPr>
          <w:rFonts w:cs="Arial"/>
        </w:rPr>
        <w:t>night processes to send in settlement instructions earlier to ensure their net debit balances are covered by credits.</w:t>
      </w:r>
      <w:r w:rsidR="005F7AD3">
        <w:rPr>
          <w:rFonts w:cs="Arial"/>
        </w:rPr>
        <w:t xml:space="preserve"> In the event that trades are not confirmed before the morning payment exchange, they would then need to</w:t>
      </w:r>
      <w:r w:rsidR="008B10EB">
        <w:rPr>
          <w:rFonts w:cs="Arial"/>
        </w:rPr>
        <w:t xml:space="preserve"> be completed during </w:t>
      </w:r>
      <w:r w:rsidR="005F7AD3">
        <w:rPr>
          <w:rFonts w:cs="Arial"/>
        </w:rPr>
        <w:t>the daytime and be included in the end of day payment exchange.</w:t>
      </w:r>
    </w:p>
    <w:p w14:paraId="67CA33FE" w14:textId="06E99C89" w:rsidR="00956E0F" w:rsidRPr="00341531" w:rsidRDefault="00956E0F" w:rsidP="00B220B8">
      <w:pPr>
        <w:pStyle w:val="ListParagraph"/>
        <w:numPr>
          <w:ilvl w:val="1"/>
          <w:numId w:val="11"/>
        </w:numPr>
        <w:spacing w:line="240" w:lineRule="auto"/>
        <w:ind w:left="1260"/>
        <w:rPr>
          <w:rFonts w:cs="Arial"/>
        </w:rPr>
      </w:pPr>
      <w:r w:rsidRPr="00971735">
        <w:rPr>
          <w:rFonts w:cs="Arial"/>
        </w:rPr>
        <w:lastRenderedPageBreak/>
        <w:t xml:space="preserve">Participants’ Funds Accounts would start at $0 after the new morning payment exchange. </w:t>
      </w:r>
    </w:p>
    <w:p w14:paraId="5339735C" w14:textId="03CEF7FF" w:rsidR="00956E0F" w:rsidRPr="00341531" w:rsidRDefault="00956E0F" w:rsidP="00B220B8">
      <w:pPr>
        <w:pStyle w:val="ListParagraph"/>
        <w:widowControl w:val="0"/>
        <w:numPr>
          <w:ilvl w:val="1"/>
          <w:numId w:val="11"/>
        </w:numPr>
        <w:spacing w:line="240" w:lineRule="auto"/>
        <w:ind w:left="1260"/>
        <w:rPr>
          <w:rFonts w:cs="Arial"/>
        </w:rPr>
      </w:pPr>
      <w:r w:rsidRPr="00971735">
        <w:rPr>
          <w:rFonts w:cs="Arial"/>
        </w:rPr>
        <w:t xml:space="preserve">Once morning payment exchange </w:t>
      </w:r>
      <w:r w:rsidR="00ED4718">
        <w:rPr>
          <w:rFonts w:cs="Arial"/>
        </w:rPr>
        <w:t xml:space="preserve">is </w:t>
      </w:r>
      <w:r w:rsidRPr="00971735">
        <w:rPr>
          <w:rFonts w:cs="Arial"/>
        </w:rPr>
        <w:t>complete, the system would ‘renew trades’ that did not settle</w:t>
      </w:r>
      <w:r>
        <w:rPr>
          <w:rFonts w:cs="Arial"/>
        </w:rPr>
        <w:t xml:space="preserve">; they would </w:t>
      </w:r>
      <w:r w:rsidRPr="00971735">
        <w:rPr>
          <w:rFonts w:cs="Arial"/>
        </w:rPr>
        <w:t>remain for settlement at end-of-day payment exchange.</w:t>
      </w:r>
    </w:p>
    <w:p w14:paraId="5FB58F97" w14:textId="73BC8418" w:rsidR="00956E0F" w:rsidRPr="00635FF8" w:rsidRDefault="00956E0F" w:rsidP="00B220B8">
      <w:pPr>
        <w:pStyle w:val="ListParagraph"/>
        <w:widowControl w:val="0"/>
        <w:numPr>
          <w:ilvl w:val="1"/>
          <w:numId w:val="11"/>
        </w:numPr>
        <w:spacing w:line="240" w:lineRule="auto"/>
        <w:ind w:left="1260"/>
        <w:rPr>
          <w:rFonts w:cs="Arial"/>
          <w:lang w:val="en-CA"/>
        </w:rPr>
      </w:pPr>
      <w:r w:rsidRPr="0039663A">
        <w:rPr>
          <w:rFonts w:cs="Arial"/>
        </w:rPr>
        <w:t>A number of other considerations would need to be addressed, for example,</w:t>
      </w:r>
      <w:r w:rsidRPr="00B05630">
        <w:rPr>
          <w:rFonts w:cs="Arial"/>
        </w:rPr>
        <w:t xml:space="preserve"> </w:t>
      </w:r>
      <w:r w:rsidRPr="00B220B8">
        <w:rPr>
          <w:rFonts w:cs="Arial"/>
        </w:rPr>
        <w:t>would mark-to-market calculations be affected and reflected in the</w:t>
      </w:r>
      <w:r w:rsidR="000253E5" w:rsidRPr="00B220B8">
        <w:rPr>
          <w:rFonts w:cs="Arial"/>
        </w:rPr>
        <w:t xml:space="preserve"> morning or afternoon </w:t>
      </w:r>
      <w:r w:rsidRPr="00B220B8">
        <w:rPr>
          <w:rFonts w:cs="Arial"/>
        </w:rPr>
        <w:t>payment exchange?  Would entitlements be excluded from the early morning payment exchange?</w:t>
      </w:r>
      <w:r w:rsidR="0053090E" w:rsidRPr="00B220B8">
        <w:rPr>
          <w:rFonts w:cs="Arial"/>
        </w:rPr>
        <w:t xml:space="preserve"> Could the morning payment exchange be</w:t>
      </w:r>
      <w:r w:rsidR="0053090E" w:rsidRPr="00B220B8">
        <w:rPr>
          <w:rFonts w:cs="Arial"/>
          <w:color w:val="000000"/>
        </w:rPr>
        <w:t xml:space="preserve"> limited to</w:t>
      </w:r>
      <w:r w:rsidRPr="00B220B8">
        <w:rPr>
          <w:rFonts w:cs="Arial"/>
          <w:color w:val="000000"/>
        </w:rPr>
        <w:t xml:space="preserve"> certain transactions </w:t>
      </w:r>
      <w:r w:rsidR="00635FF8" w:rsidRPr="00B220B8">
        <w:rPr>
          <w:rFonts w:cs="Arial"/>
          <w:color w:val="000000"/>
        </w:rPr>
        <w:t>only?</w:t>
      </w:r>
    </w:p>
    <w:p w14:paraId="2162FC7F" w14:textId="77777777" w:rsidR="00956E0F" w:rsidRPr="002037E4" w:rsidRDefault="00956E0F" w:rsidP="002037E4">
      <w:pPr>
        <w:widowControl w:val="0"/>
        <w:shd w:val="clear" w:color="auto" w:fill="FFFFFF"/>
        <w:spacing w:line="240" w:lineRule="auto"/>
        <w:ind w:left="1080"/>
        <w:rPr>
          <w:rFonts w:eastAsia="Times New Roman" w:cs="Arial"/>
        </w:rPr>
      </w:pPr>
    </w:p>
    <w:p w14:paraId="6D7D4BE2" w14:textId="6BC3C021" w:rsidR="00956E0F" w:rsidRPr="007D3979" w:rsidRDefault="00956E0F" w:rsidP="00B220B8">
      <w:pPr>
        <w:spacing w:line="240" w:lineRule="auto"/>
        <w:ind w:left="900"/>
        <w:rPr>
          <w:rFonts w:cs="Arial"/>
          <w:i/>
        </w:rPr>
      </w:pPr>
      <w:r w:rsidRPr="00DE5FDF">
        <w:rPr>
          <w:rFonts w:cs="Arial"/>
          <w:i/>
        </w:rPr>
        <w:t>Note:</w:t>
      </w:r>
      <w:r>
        <w:rPr>
          <w:rFonts w:cs="Arial"/>
        </w:rPr>
        <w:t xml:space="preserve">  </w:t>
      </w:r>
      <w:r w:rsidR="00F86058" w:rsidRPr="00C85AEC">
        <w:rPr>
          <w:rFonts w:cs="Arial"/>
        </w:rPr>
        <w:t>As noted above,</w:t>
      </w:r>
      <w:r w:rsidR="00F86058">
        <w:rPr>
          <w:rFonts w:cs="Arial"/>
        </w:rPr>
        <w:t xml:space="preserve"> </w:t>
      </w:r>
      <w:r w:rsidR="00635FF8">
        <w:rPr>
          <w:rFonts w:cs="Arial"/>
        </w:rPr>
        <w:t>DTCC</w:t>
      </w:r>
      <w:r w:rsidRPr="00DE5FDF">
        <w:rPr>
          <w:rFonts w:cs="Arial"/>
        </w:rPr>
        <w:t xml:space="preserve"> and CDS settlement processes differ in an important respect:  all of a participant’s transactions in CDS are effectively netted during the day in a single funds account, whereas in the U.S. there are separate funds accounts for NSCC/CNS and for DTCC, which are netted only at payment exchange.  In other words, if a participant had $1 million in surplus funds in NSCC/CNS but owed $1.5 million in </w:t>
      </w:r>
      <w:r w:rsidR="00635FF8">
        <w:rPr>
          <w:rFonts w:cs="Arial"/>
        </w:rPr>
        <w:t>DTCC</w:t>
      </w:r>
      <w:r w:rsidRPr="00DE5FDF">
        <w:rPr>
          <w:rFonts w:cs="Arial"/>
        </w:rPr>
        <w:t>, the U.S. participant would have to collateralize the $1.5 million whereas a similar series of transactions in CDS would see a participant only need to collateralize the net amount of $.5 million.</w:t>
      </w:r>
      <w:r>
        <w:rPr>
          <w:rFonts w:cs="Arial"/>
          <w:i/>
        </w:rPr>
        <w:t xml:space="preserve"> </w:t>
      </w:r>
    </w:p>
    <w:p w14:paraId="11E66C11" w14:textId="77777777" w:rsidR="00956E0F" w:rsidRPr="00EE3B6B" w:rsidRDefault="00956E0F" w:rsidP="001E1887">
      <w:pPr>
        <w:widowControl w:val="0"/>
        <w:autoSpaceDE w:val="0"/>
        <w:autoSpaceDN w:val="0"/>
        <w:spacing w:line="240" w:lineRule="auto"/>
        <w:ind w:left="900"/>
        <w:rPr>
          <w:rFonts w:cs="Arial"/>
        </w:rPr>
      </w:pPr>
    </w:p>
    <w:p w14:paraId="4973FF6D" w14:textId="3B651115" w:rsidR="004321D8" w:rsidRDefault="00333901">
      <w:pPr>
        <w:pStyle w:val="Heading2"/>
        <w:rPr>
          <w:rFonts w:eastAsia="Times New Roman"/>
        </w:rPr>
      </w:pPr>
      <w:r>
        <w:rPr>
          <w:rFonts w:eastAsia="Times New Roman"/>
        </w:rPr>
        <w:tab/>
      </w:r>
      <w:bookmarkStart w:id="9" w:name="_Toc5169408"/>
      <w:r w:rsidR="004321D8">
        <w:rPr>
          <w:rFonts w:eastAsia="Times New Roman"/>
        </w:rPr>
        <w:t>Global trends</w:t>
      </w:r>
      <w:bookmarkEnd w:id="9"/>
    </w:p>
    <w:p w14:paraId="18724EA7" w14:textId="77777777" w:rsidR="00D54E78" w:rsidRPr="00B220B8" w:rsidRDefault="00D54E78" w:rsidP="00B220B8">
      <w:pPr>
        <w:keepNext/>
        <w:keepLines/>
      </w:pPr>
    </w:p>
    <w:p w14:paraId="543372CB" w14:textId="43529ADA" w:rsidR="00487CCB" w:rsidRPr="004C3C4A" w:rsidRDefault="00120A9E">
      <w:pPr>
        <w:keepNext/>
        <w:keepLines/>
        <w:autoSpaceDE w:val="0"/>
        <w:autoSpaceDN w:val="0"/>
        <w:adjustRightInd w:val="0"/>
        <w:spacing w:line="240" w:lineRule="auto"/>
        <w:ind w:left="900"/>
      </w:pPr>
      <w:r w:rsidRPr="00401450">
        <w:rPr>
          <w:rStyle w:val="Hyperlink"/>
          <w:rFonts w:cs="Arial"/>
          <w:bCs/>
          <w:color w:val="000000" w:themeColor="text1"/>
          <w:u w:val="none"/>
        </w:rPr>
        <w:t>O</w:t>
      </w:r>
      <w:r w:rsidR="00B04F86" w:rsidRPr="00401450">
        <w:rPr>
          <w:rFonts w:cs="Arial"/>
        </w:rPr>
        <w:t>n August 23, 2017, the European Commission’s Directorate General of Financial Stability, Financial Services and Capital Markets Union launched public consultations</w:t>
      </w:r>
      <w:r w:rsidR="009F396F" w:rsidRPr="00401450">
        <w:rPr>
          <w:rFonts w:cs="Arial"/>
        </w:rPr>
        <w:t xml:space="preserve"> (</w:t>
      </w:r>
      <w:r w:rsidR="009F396F" w:rsidRPr="00401450">
        <w:rPr>
          <w:rStyle w:val="Hyperlink"/>
          <w:rFonts w:cs="Arial"/>
          <w:bCs/>
        </w:rPr>
        <w:t xml:space="preserve">European Commission </w:t>
      </w:r>
      <w:hyperlink r:id="rId16" w:history="1">
        <w:hyperlink r:id="rId17" w:history="1">
          <w:r w:rsidR="009F396F" w:rsidRPr="00401450">
            <w:rPr>
              <w:rStyle w:val="Hyperlink"/>
              <w:rFonts w:cs="Arial"/>
              <w:bCs/>
            </w:rPr>
            <w:t>Public Consultation</w:t>
          </w:r>
        </w:hyperlink>
      </w:hyperlink>
      <w:r w:rsidR="009F396F" w:rsidRPr="00401450">
        <w:rPr>
          <w:rStyle w:val="Hyperlink"/>
          <w:rFonts w:cs="Arial"/>
          <w:bCs/>
        </w:rPr>
        <w:t xml:space="preserve"> on post-trade in a Capital Market Union: dismantling barriers and strategy for the future)</w:t>
      </w:r>
      <w:r w:rsidR="00B04F86" w:rsidRPr="00401450">
        <w:rPr>
          <w:rFonts w:cs="Arial"/>
        </w:rPr>
        <w:t xml:space="preserve">.  </w:t>
      </w:r>
      <w:r w:rsidR="00AC43C6" w:rsidRPr="004C3C4A">
        <w:rPr>
          <w:rFonts w:cs="Arial"/>
        </w:rPr>
        <w:t xml:space="preserve">Following the </w:t>
      </w:r>
      <w:r w:rsidR="00AC43C6" w:rsidRPr="004C3C4A">
        <w:rPr>
          <w:rFonts w:cs="Arial"/>
          <w:shd w:val="clear" w:color="auto" w:fill="FFFFFF"/>
        </w:rPr>
        <w:t xml:space="preserve">consultation period </w:t>
      </w:r>
      <w:r w:rsidR="000253E5">
        <w:rPr>
          <w:rFonts w:cs="Arial"/>
          <w:shd w:val="clear" w:color="auto" w:fill="FFFFFF"/>
        </w:rPr>
        <w:t xml:space="preserve">in </w:t>
      </w:r>
      <w:r w:rsidR="00AC43C6" w:rsidRPr="004C3C4A">
        <w:rPr>
          <w:rFonts w:eastAsia="Times New Roman" w:cs="Arial"/>
        </w:rPr>
        <w:t>2017, t</w:t>
      </w:r>
      <w:r w:rsidR="00B04F86" w:rsidRPr="004C3C4A">
        <w:rPr>
          <w:rFonts w:eastAsia="Times New Roman" w:cs="Arial"/>
        </w:rPr>
        <w:t xml:space="preserve">he European Commission </w:t>
      </w:r>
      <w:r w:rsidR="009F396F" w:rsidRPr="004C3C4A">
        <w:rPr>
          <w:rFonts w:eastAsia="Times New Roman" w:cs="Arial"/>
        </w:rPr>
        <w:t xml:space="preserve">published </w:t>
      </w:r>
      <w:r w:rsidR="00BC7AAC">
        <w:rPr>
          <w:rFonts w:eastAsia="Times New Roman" w:cs="Arial"/>
        </w:rPr>
        <w:t xml:space="preserve">in October 2018 </w:t>
      </w:r>
      <w:r w:rsidR="009F396F" w:rsidRPr="004C3C4A">
        <w:rPr>
          <w:rFonts w:eastAsia="Times New Roman" w:cs="Arial"/>
        </w:rPr>
        <w:t xml:space="preserve">a </w:t>
      </w:r>
      <w:r w:rsidR="00487CCB" w:rsidRPr="004C3C4A">
        <w:rPr>
          <w:rFonts w:cs="Arial"/>
          <w:shd w:val="clear" w:color="auto" w:fill="FFFFFF"/>
        </w:rPr>
        <w:t>summary of comments</w:t>
      </w:r>
      <w:r w:rsidR="007C0267">
        <w:rPr>
          <w:rStyle w:val="FootnoteReference"/>
          <w:rFonts w:cs="Arial"/>
          <w:shd w:val="clear" w:color="auto" w:fill="FFFFFF"/>
        </w:rPr>
        <w:footnoteReference w:id="6"/>
      </w:r>
      <w:r w:rsidR="00487CCB" w:rsidRPr="004C3C4A">
        <w:rPr>
          <w:rFonts w:cs="Arial"/>
          <w:shd w:val="clear" w:color="auto" w:fill="FFFFFF"/>
        </w:rPr>
        <w:t xml:space="preserve"> received </w:t>
      </w:r>
      <w:r w:rsidR="00EB4FE0" w:rsidRPr="004C3C4A">
        <w:rPr>
          <w:rFonts w:eastAsia="Times New Roman" w:cs="Arial"/>
        </w:rPr>
        <w:t xml:space="preserve">regarding </w:t>
      </w:r>
      <w:r w:rsidR="00487CCB" w:rsidRPr="004C3C4A">
        <w:t xml:space="preserve">a future EU strategy for post-trade services, with most respondents believing that five years was too short a period </w:t>
      </w:r>
      <w:r w:rsidR="00B07C2C" w:rsidRPr="004C3C4A">
        <w:t xml:space="preserve">within which </w:t>
      </w:r>
      <w:r w:rsidR="00487CCB" w:rsidRPr="004C3C4A">
        <w:t>to envisage substantial change</w:t>
      </w:r>
      <w:r w:rsidR="00B07C2C" w:rsidRPr="004C3C4A">
        <w:t>s</w:t>
      </w:r>
      <w:r w:rsidR="00487CCB" w:rsidRPr="004C3C4A">
        <w:t xml:space="preserve"> to post-trade </w:t>
      </w:r>
      <w:r w:rsidR="00B07C2C" w:rsidRPr="004C3C4A">
        <w:t xml:space="preserve">processing, </w:t>
      </w:r>
      <w:r w:rsidR="00401450" w:rsidRPr="004C3C4A">
        <w:t>and ten years</w:t>
      </w:r>
      <w:r w:rsidR="00EB4FE0" w:rsidRPr="004C3C4A">
        <w:t xml:space="preserve"> too long</w:t>
      </w:r>
      <w:r w:rsidR="00846699">
        <w:t xml:space="preserve"> a time</w:t>
      </w:r>
      <w:r w:rsidR="005471B5">
        <w:t>frame to conceptualize</w:t>
      </w:r>
      <w:r w:rsidR="00EB4FE0" w:rsidRPr="004C3C4A">
        <w:t>.</w:t>
      </w:r>
      <w:r w:rsidR="00A06332">
        <w:t xml:space="preserve">  </w:t>
      </w:r>
      <w:r w:rsidR="00AA08BD">
        <w:t>I</w:t>
      </w:r>
      <w:r w:rsidR="00A06332">
        <w:t xml:space="preserve">n </w:t>
      </w:r>
      <w:r w:rsidR="00AA08BD">
        <w:t>a M</w:t>
      </w:r>
      <w:r w:rsidR="00A06332">
        <w:t>arc</w:t>
      </w:r>
      <w:r w:rsidR="00AA08BD">
        <w:t>h</w:t>
      </w:r>
      <w:r w:rsidR="00A06332">
        <w:t xml:space="preserve"> 11, 2019</w:t>
      </w:r>
      <w:r w:rsidR="00AA08BD">
        <w:t xml:space="preserve"> e-mail</w:t>
      </w:r>
      <w:r w:rsidR="00A06332">
        <w:t>,</w:t>
      </w:r>
      <w:r w:rsidR="00AA08BD">
        <w:t xml:space="preserve"> </w:t>
      </w:r>
      <w:r w:rsidR="00A06332">
        <w:t xml:space="preserve">European Commission representatives confirmed </w:t>
      </w:r>
      <w:r w:rsidR="00AA08BD">
        <w:t>that “</w:t>
      </w:r>
      <w:r w:rsidR="00A06332">
        <w:t>At this stage, there are no plans to further shorten the settlement cycle in CSDR. More generally, the requirements of CSDR will however be assessed during a review of CSDR at a later stage</w:t>
      </w:r>
      <w:r w:rsidR="00AA08BD">
        <w:t>.”</w:t>
      </w:r>
    </w:p>
    <w:p w14:paraId="4AE75802" w14:textId="77777777" w:rsidR="00A67EEF" w:rsidRDefault="00A67EEF" w:rsidP="00CF7DDE">
      <w:pPr>
        <w:spacing w:line="240" w:lineRule="auto"/>
        <w:ind w:left="360"/>
        <w:rPr>
          <w:i/>
        </w:rPr>
      </w:pPr>
    </w:p>
    <w:p w14:paraId="06F318D3" w14:textId="5279EF05" w:rsidR="005F0018" w:rsidRPr="00A20E37" w:rsidRDefault="00096582" w:rsidP="00B220B8">
      <w:pPr>
        <w:pStyle w:val="ListParagraph"/>
        <w:numPr>
          <w:ilvl w:val="0"/>
          <w:numId w:val="24"/>
        </w:numPr>
        <w:ind w:left="360"/>
        <w:rPr>
          <w:sz w:val="28"/>
          <w:szCs w:val="28"/>
        </w:rPr>
      </w:pPr>
      <w:bookmarkStart w:id="10" w:name="Analysis"/>
      <w:bookmarkStart w:id="11" w:name="_Toc5169409"/>
      <w:r w:rsidRPr="00A20E37">
        <w:rPr>
          <w:b/>
          <w:sz w:val="28"/>
          <w:szCs w:val="28"/>
        </w:rPr>
        <w:t>Analysis</w:t>
      </w:r>
      <w:bookmarkEnd w:id="10"/>
      <w:bookmarkEnd w:id="11"/>
    </w:p>
    <w:p w14:paraId="4DAF48B9" w14:textId="55B85DF5" w:rsidR="00AC69D3" w:rsidRDefault="00AC69D3" w:rsidP="00CF7DDE">
      <w:pPr>
        <w:spacing w:line="240" w:lineRule="auto"/>
        <w:ind w:left="360"/>
      </w:pPr>
    </w:p>
    <w:p w14:paraId="6BAB7383" w14:textId="743A3872" w:rsidR="00135F11" w:rsidRPr="00B220B8" w:rsidRDefault="00AB6F1F">
      <w:pPr>
        <w:spacing w:line="240" w:lineRule="auto"/>
        <w:ind w:left="360"/>
      </w:pPr>
      <w:r w:rsidRPr="00B220B8">
        <w:rPr>
          <w:b/>
          <w:i/>
        </w:rPr>
        <w:t>Note:</w:t>
      </w:r>
      <w:r>
        <w:t xml:space="preserve">  </w:t>
      </w:r>
      <w:r w:rsidR="00135F11" w:rsidRPr="00B220B8">
        <w:t xml:space="preserve">While the U.S. project was referred to by DTCC as Equity Infrastructure Modernization, </w:t>
      </w:r>
      <w:r w:rsidR="00AE77F6" w:rsidRPr="00B220B8">
        <w:t xml:space="preserve">Canadian participants indicated that they </w:t>
      </w:r>
      <w:r w:rsidR="00373B5E" w:rsidRPr="00B220B8">
        <w:t xml:space="preserve">would </w:t>
      </w:r>
      <w:r w:rsidR="00AE77F6" w:rsidRPr="00B220B8">
        <w:t>expect all financial instruments to be included</w:t>
      </w:r>
      <w:r>
        <w:t xml:space="preserve"> –</w:t>
      </w:r>
      <w:r w:rsidR="00AE77F6" w:rsidRPr="00B220B8">
        <w:t xml:space="preserve"> CNS and TFT, equity and debt</w:t>
      </w:r>
      <w:r w:rsidR="00373B5E" w:rsidRPr="00B220B8">
        <w:t xml:space="preserve"> </w:t>
      </w:r>
      <w:r>
        <w:t xml:space="preserve">– </w:t>
      </w:r>
      <w:r w:rsidR="00373B5E" w:rsidRPr="00B220B8">
        <w:t>should a morning payment exchange be implemented</w:t>
      </w:r>
      <w:r w:rsidR="00AE77F6" w:rsidRPr="00B220B8">
        <w:t>.</w:t>
      </w:r>
    </w:p>
    <w:p w14:paraId="0F7F1F75" w14:textId="77777777" w:rsidR="00AE77F6" w:rsidRDefault="00AE77F6" w:rsidP="00CF7DDE">
      <w:pPr>
        <w:spacing w:line="240" w:lineRule="auto"/>
        <w:ind w:left="360"/>
      </w:pPr>
    </w:p>
    <w:p w14:paraId="60BB37A2" w14:textId="3BB97229" w:rsidR="00AC69D3" w:rsidRPr="00D72A09" w:rsidRDefault="00096582" w:rsidP="00D72A09">
      <w:pPr>
        <w:pStyle w:val="Heading2"/>
        <w:numPr>
          <w:ilvl w:val="0"/>
          <w:numId w:val="2"/>
        </w:numPr>
        <w:rPr>
          <w:rFonts w:eastAsia="Times New Roman"/>
        </w:rPr>
      </w:pPr>
      <w:bookmarkStart w:id="12" w:name="_Toc5169410"/>
      <w:r w:rsidRPr="00D72A09">
        <w:rPr>
          <w:rFonts w:eastAsia="Times New Roman"/>
        </w:rPr>
        <w:t>Assess the need to stay in sync with the U</w:t>
      </w:r>
      <w:r w:rsidR="005C08FB" w:rsidRPr="00D72A09">
        <w:rPr>
          <w:rFonts w:eastAsia="Times New Roman"/>
        </w:rPr>
        <w:t>.</w:t>
      </w:r>
      <w:r w:rsidRPr="00D72A09">
        <w:rPr>
          <w:rFonts w:eastAsia="Times New Roman"/>
        </w:rPr>
        <w:t>S</w:t>
      </w:r>
      <w:r w:rsidR="005C08FB" w:rsidRPr="00D72A09">
        <w:rPr>
          <w:rFonts w:eastAsia="Times New Roman"/>
        </w:rPr>
        <w:t>.</w:t>
      </w:r>
      <w:bookmarkEnd w:id="12"/>
    </w:p>
    <w:p w14:paraId="5897AD85" w14:textId="7B0056AC" w:rsidR="001C6504" w:rsidRDefault="001C6504" w:rsidP="00516410">
      <w:pPr>
        <w:keepNext/>
        <w:keepLines/>
        <w:spacing w:line="240" w:lineRule="auto"/>
        <w:ind w:left="360"/>
      </w:pPr>
    </w:p>
    <w:p w14:paraId="6BEA9220" w14:textId="132A3399" w:rsidR="00373B5E" w:rsidRDefault="001C50D2" w:rsidP="00D72A09">
      <w:pPr>
        <w:pStyle w:val="ListParagraph"/>
        <w:numPr>
          <w:ilvl w:val="0"/>
          <w:numId w:val="7"/>
        </w:numPr>
        <w:spacing w:line="240" w:lineRule="auto"/>
        <w:ind w:left="1080"/>
      </w:pPr>
      <w:r>
        <w:t>S</w:t>
      </w:r>
      <w:r w:rsidR="00373B5E">
        <w:t xml:space="preserve">taying in sync with the U.S </w:t>
      </w:r>
      <w:r>
        <w:t xml:space="preserve">is critical from a </w:t>
      </w:r>
      <w:r w:rsidR="00AB6F1F">
        <w:t>s</w:t>
      </w:r>
      <w:r>
        <w:t xml:space="preserve">ettlement </w:t>
      </w:r>
      <w:r w:rsidR="00AB6F1F">
        <w:t>d</w:t>
      </w:r>
      <w:r>
        <w:t xml:space="preserve">ate perspective. However, there is less certainty that this is an absolute requirement in terms of matching payment exchanges within the same </w:t>
      </w:r>
      <w:r w:rsidR="00261CBE">
        <w:t>s</w:t>
      </w:r>
      <w:r>
        <w:t xml:space="preserve">ettlement </w:t>
      </w:r>
      <w:r w:rsidR="00261CBE">
        <w:t>d</w:t>
      </w:r>
      <w:r>
        <w:t>ate</w:t>
      </w:r>
      <w:r w:rsidRPr="00C85AEC">
        <w:t xml:space="preserve">. </w:t>
      </w:r>
      <w:r w:rsidR="00800899" w:rsidRPr="00516410">
        <w:t xml:space="preserve">Although </w:t>
      </w:r>
      <w:r w:rsidR="00067F76" w:rsidRPr="00516410">
        <w:t>t</w:t>
      </w:r>
      <w:r w:rsidR="00067F76">
        <w:t xml:space="preserve">he two systems operate similarly at a high level, there are many nuances to each system that </w:t>
      </w:r>
      <w:r w:rsidR="00067F76">
        <w:lastRenderedPageBreak/>
        <w:t>effectiv</w:t>
      </w:r>
      <w:r w:rsidR="00067F76" w:rsidRPr="00516410">
        <w:t>e</w:t>
      </w:r>
      <w:r w:rsidR="00800899" w:rsidRPr="00516410">
        <w:t>ly</w:t>
      </w:r>
      <w:r w:rsidR="00067F76">
        <w:t xml:space="preserve"> make them completely different from an operational perspective. Consequently, either country could or could not stay in sync with </w:t>
      </w:r>
      <w:r w:rsidR="00067F76" w:rsidRPr="00516410">
        <w:t>the other</w:t>
      </w:r>
      <w:r w:rsidR="00067F76">
        <w:t>. Either way, as long as they line up at the end of the day in terms of total settlement payments, both countries would be comfortable</w:t>
      </w:r>
      <w:r w:rsidR="00FF3EFC" w:rsidRPr="00516410">
        <w:t>, even if there is variation during the day</w:t>
      </w:r>
      <w:r w:rsidR="00067F76" w:rsidRPr="00516410">
        <w:t>.</w:t>
      </w:r>
    </w:p>
    <w:p w14:paraId="135D4268" w14:textId="644C5EA6" w:rsidR="003F4E7D" w:rsidRDefault="00516410" w:rsidP="00635FF8">
      <w:pPr>
        <w:pStyle w:val="ListParagraph"/>
        <w:numPr>
          <w:ilvl w:val="0"/>
          <w:numId w:val="7"/>
        </w:numPr>
        <w:spacing w:line="240" w:lineRule="auto"/>
        <w:ind w:left="1080"/>
      </w:pPr>
      <w:r>
        <w:t>We believe that t</w:t>
      </w:r>
      <w:r w:rsidR="003F4E7D">
        <w:t xml:space="preserve">here </w:t>
      </w:r>
      <w:r w:rsidR="00FF3EFC">
        <w:t xml:space="preserve">would be </w:t>
      </w:r>
      <w:r w:rsidR="003F4E7D">
        <w:t xml:space="preserve">material effort required by industry infrastructure providers if CDS were to implement a morning payment </w:t>
      </w:r>
      <w:r w:rsidR="003F4E7D" w:rsidRPr="00516410">
        <w:t>exchange</w:t>
      </w:r>
      <w:r w:rsidR="00FF3EFC" w:rsidRPr="00516410">
        <w:t>,</w:t>
      </w:r>
      <w:r w:rsidR="003F4E7D">
        <w:t xml:space="preserve"> in terms of messaging, timing of overnight jobs, new internal jobs to run, file transmissions and report distributions.</w:t>
      </w:r>
    </w:p>
    <w:p w14:paraId="4C2F2B7F" w14:textId="6E7E28F2" w:rsidR="004570DF" w:rsidRDefault="004570DF" w:rsidP="00CF7DDE">
      <w:pPr>
        <w:spacing w:line="240" w:lineRule="auto"/>
        <w:ind w:left="360"/>
      </w:pPr>
    </w:p>
    <w:p w14:paraId="02CEF169" w14:textId="16284178" w:rsidR="00096582" w:rsidRPr="00D72A09" w:rsidRDefault="00D52D13" w:rsidP="00D72A09">
      <w:pPr>
        <w:pStyle w:val="Heading2"/>
        <w:numPr>
          <w:ilvl w:val="0"/>
          <w:numId w:val="2"/>
        </w:numPr>
        <w:rPr>
          <w:rFonts w:eastAsia="Times New Roman"/>
        </w:rPr>
      </w:pPr>
      <w:r w:rsidRPr="00D72A09">
        <w:rPr>
          <w:rFonts w:eastAsia="Times New Roman"/>
        </w:rPr>
        <w:tab/>
      </w:r>
      <w:bookmarkStart w:id="13" w:name="_Toc5169411"/>
      <w:r w:rsidR="00096582" w:rsidRPr="00D72A09">
        <w:rPr>
          <w:rFonts w:eastAsia="Times New Roman"/>
        </w:rPr>
        <w:t>Determine the operational impact</w:t>
      </w:r>
      <w:bookmarkEnd w:id="13"/>
    </w:p>
    <w:p w14:paraId="02DC8284" w14:textId="05A4D379" w:rsidR="00B15E9A" w:rsidRDefault="00B15E9A" w:rsidP="00CF7DDE">
      <w:pPr>
        <w:spacing w:line="240" w:lineRule="auto"/>
        <w:ind w:left="360"/>
      </w:pPr>
    </w:p>
    <w:p w14:paraId="76CD60C3" w14:textId="550A2D27" w:rsidR="00411357" w:rsidRPr="00516410" w:rsidRDefault="00B71A92" w:rsidP="00923137">
      <w:pPr>
        <w:pStyle w:val="ListParagraph"/>
        <w:numPr>
          <w:ilvl w:val="0"/>
          <w:numId w:val="7"/>
        </w:numPr>
        <w:spacing w:line="240" w:lineRule="auto"/>
        <w:ind w:left="1260"/>
      </w:pPr>
      <w:r w:rsidRPr="00516410">
        <w:t xml:space="preserve">Implementing an early morning payment exchange </w:t>
      </w:r>
      <w:r w:rsidR="0072115E" w:rsidRPr="00516410">
        <w:t xml:space="preserve">would </w:t>
      </w:r>
      <w:r w:rsidRPr="00516410">
        <w:t xml:space="preserve">have no impact on collateral requirements for the CNS and TFT collateral pools, since CDS currently excludes the trades completed in the Batch Net Settlement </w:t>
      </w:r>
      <w:r w:rsidR="00411357" w:rsidRPr="00516410">
        <w:t xml:space="preserve">that runs early </w:t>
      </w:r>
      <w:r w:rsidR="00516410">
        <w:t xml:space="preserve">in the </w:t>
      </w:r>
      <w:r w:rsidR="00411357" w:rsidRPr="00516410">
        <w:t xml:space="preserve">morning. </w:t>
      </w:r>
    </w:p>
    <w:p w14:paraId="3EC7E8BF" w14:textId="2A0EA17E" w:rsidR="00B71A92" w:rsidRDefault="00411357" w:rsidP="00923137">
      <w:pPr>
        <w:pStyle w:val="ListParagraph"/>
        <w:numPr>
          <w:ilvl w:val="0"/>
          <w:numId w:val="7"/>
        </w:numPr>
        <w:spacing w:line="240" w:lineRule="auto"/>
        <w:ind w:left="1260"/>
      </w:pPr>
      <w:r w:rsidRPr="00516410">
        <w:t xml:space="preserve">However, by running a payment exchange in the morning, participants would benefit from increased </w:t>
      </w:r>
      <w:r w:rsidR="008C1006">
        <w:t>aggregate collateral value (</w:t>
      </w:r>
      <w:r w:rsidRPr="00516410">
        <w:t>ACV</w:t>
      </w:r>
      <w:r w:rsidR="008C1006">
        <w:t>)</w:t>
      </w:r>
      <w:r w:rsidRPr="00516410">
        <w:t xml:space="preserve"> within the system. Today, they receive ACV for trades that settle, however, the ACV is reduced by a ‘haircut’ based on the risk tolerance of the security. Consequently many/some participants must make a funds deposit to increase their ACV. The completion of a morning </w:t>
      </w:r>
      <w:r w:rsidR="007C54E2" w:rsidRPr="00516410">
        <w:t>p</w:t>
      </w:r>
      <w:r w:rsidRPr="00516410">
        <w:t xml:space="preserve">ayment </w:t>
      </w:r>
      <w:r w:rsidR="007C54E2" w:rsidRPr="00516410">
        <w:t>e</w:t>
      </w:r>
      <w:r w:rsidRPr="00516410">
        <w:t>xchange would free up ACV value for the full value of the securities within the General Account</w:t>
      </w:r>
      <w:r w:rsidR="00ED5154">
        <w:t xml:space="preserve"> (GA)</w:t>
      </w:r>
      <w:r w:rsidRPr="00516410">
        <w:t>.</w:t>
      </w:r>
    </w:p>
    <w:p w14:paraId="0EB2EB7A" w14:textId="54FC4CD3" w:rsidR="00AD4D2D" w:rsidRPr="00516410" w:rsidRDefault="00AD4D2D" w:rsidP="00923137">
      <w:pPr>
        <w:pStyle w:val="ListParagraph"/>
        <w:numPr>
          <w:ilvl w:val="0"/>
          <w:numId w:val="7"/>
        </w:numPr>
        <w:spacing w:line="240" w:lineRule="auto"/>
        <w:ind w:left="1260"/>
      </w:pPr>
      <w:r>
        <w:t xml:space="preserve">The only exception to the second point above is that </w:t>
      </w:r>
      <w:r w:rsidR="00D262A1">
        <w:t>b</w:t>
      </w:r>
      <w:r>
        <w:t>ank ‘</w:t>
      </w:r>
      <w:r w:rsidR="00ED5154">
        <w:t>f</w:t>
      </w:r>
      <w:r>
        <w:t xml:space="preserve">amily’ members are capped at $100 </w:t>
      </w:r>
      <w:r w:rsidR="00ED5154">
        <w:t>m</w:t>
      </w:r>
      <w:r>
        <w:t>illion of ACV for the securities held within their GA (</w:t>
      </w:r>
      <w:r w:rsidR="00ED5154">
        <w:t xml:space="preserve">refer </w:t>
      </w:r>
      <w:r w:rsidR="0018460E">
        <w:t xml:space="preserve">CDS Financial Risk Model – Version 11.0 - November 2018 - </w:t>
      </w:r>
      <w:r>
        <w:t>Section 6.2.2</w:t>
      </w:r>
      <w:r w:rsidR="00ED5154">
        <w:t xml:space="preserve"> </w:t>
      </w:r>
      <w:r>
        <w:t>- Sector Limits for ACV)</w:t>
      </w:r>
      <w:r w:rsidR="00ED5154">
        <w:t>.</w:t>
      </w:r>
    </w:p>
    <w:p w14:paraId="7A1908DE" w14:textId="439CB1B2" w:rsidR="00C70953" w:rsidRPr="00516410" w:rsidRDefault="00C70953" w:rsidP="00923137">
      <w:pPr>
        <w:pStyle w:val="ListParagraph"/>
        <w:numPr>
          <w:ilvl w:val="0"/>
          <w:numId w:val="7"/>
        </w:numPr>
        <w:spacing w:line="240" w:lineRule="auto"/>
        <w:ind w:left="1260"/>
      </w:pPr>
      <w:r w:rsidRPr="00516410">
        <w:t xml:space="preserve">Implementing an additional </w:t>
      </w:r>
      <w:r w:rsidR="00B95921" w:rsidRPr="00516410">
        <w:t>p</w:t>
      </w:r>
      <w:r w:rsidRPr="00516410">
        <w:t xml:space="preserve">ayment </w:t>
      </w:r>
      <w:r w:rsidR="00B95921" w:rsidRPr="00516410">
        <w:t>e</w:t>
      </w:r>
      <w:r w:rsidRPr="00516410">
        <w:t xml:space="preserve">xchange in the morning would potentially allow for </w:t>
      </w:r>
      <w:r w:rsidR="00B71A92" w:rsidRPr="00516410">
        <w:t>participants</w:t>
      </w:r>
      <w:r w:rsidRPr="00516410">
        <w:t xml:space="preserve"> to segregate securities for regulatory </w:t>
      </w:r>
      <w:r w:rsidR="00B71A92" w:rsidRPr="00516410">
        <w:t>requirements</w:t>
      </w:r>
      <w:r w:rsidRPr="00516410">
        <w:t xml:space="preserve"> earlier in the day.</w:t>
      </w:r>
    </w:p>
    <w:p w14:paraId="325CA623" w14:textId="399B991B" w:rsidR="00C70953" w:rsidRPr="00516410" w:rsidRDefault="00C70953" w:rsidP="00923137">
      <w:pPr>
        <w:pStyle w:val="ListParagraph"/>
        <w:numPr>
          <w:ilvl w:val="0"/>
          <w:numId w:val="7"/>
        </w:numPr>
        <w:spacing w:line="240" w:lineRule="auto"/>
        <w:ind w:left="1260"/>
      </w:pPr>
      <w:r w:rsidRPr="00516410">
        <w:t xml:space="preserve">Any potential savings by CDS participants may be </w:t>
      </w:r>
      <w:r w:rsidR="00B71A92" w:rsidRPr="00516410">
        <w:t>partially</w:t>
      </w:r>
      <w:r w:rsidRPr="00516410">
        <w:t xml:space="preserve"> or completely offset by increased collateral </w:t>
      </w:r>
      <w:r w:rsidR="00B71A92" w:rsidRPr="00516410">
        <w:t>requirements</w:t>
      </w:r>
      <w:r w:rsidRPr="00516410">
        <w:t xml:space="preserve"> by </w:t>
      </w:r>
      <w:r w:rsidR="00095B1C">
        <w:t>Large Value Transfer System (</w:t>
      </w:r>
      <w:r w:rsidRPr="00516410">
        <w:t>LVTS</w:t>
      </w:r>
      <w:r w:rsidR="00095B1C">
        <w:t>)</w:t>
      </w:r>
      <w:r w:rsidRPr="00516410">
        <w:t xml:space="preserve"> users making payments into the morning payment exchange.</w:t>
      </w:r>
    </w:p>
    <w:p w14:paraId="7FFA4221" w14:textId="6E1C28A5" w:rsidR="00B71A92" w:rsidRPr="00516410" w:rsidRDefault="007C54E2" w:rsidP="00FB6CA6">
      <w:pPr>
        <w:pStyle w:val="ListParagraph"/>
        <w:numPr>
          <w:ilvl w:val="0"/>
          <w:numId w:val="7"/>
        </w:numPr>
        <w:spacing w:line="240" w:lineRule="auto"/>
        <w:ind w:left="1260"/>
      </w:pPr>
      <w:r w:rsidRPr="00516410">
        <w:t>An earlier payment exchange m</w:t>
      </w:r>
      <w:r w:rsidR="00C70953" w:rsidRPr="00516410">
        <w:t xml:space="preserve">ay allow for the </w:t>
      </w:r>
      <w:r w:rsidR="00970104" w:rsidRPr="00516410">
        <w:t>c</w:t>
      </w:r>
      <w:r w:rsidR="00B71A92" w:rsidRPr="00516410">
        <w:t>learing</w:t>
      </w:r>
      <w:r w:rsidR="00C70953" w:rsidRPr="00516410">
        <w:t xml:space="preserve"> </w:t>
      </w:r>
      <w:r w:rsidR="00970104" w:rsidRPr="00516410">
        <w:t>a</w:t>
      </w:r>
      <w:r w:rsidR="00B71A92" w:rsidRPr="00516410">
        <w:t>gency</w:t>
      </w:r>
      <w:r w:rsidR="00C70953" w:rsidRPr="00516410">
        <w:t xml:space="preserve"> to detect other problems earlier in the day (</w:t>
      </w:r>
      <w:r w:rsidR="00095B1C">
        <w:t>e.g</w:t>
      </w:r>
      <w:r w:rsidR="00C70953" w:rsidRPr="00516410">
        <w:t>.</w:t>
      </w:r>
      <w:r w:rsidR="00095B1C">
        <w:t>,</w:t>
      </w:r>
      <w:r w:rsidR="00C70953" w:rsidRPr="00516410">
        <w:t xml:space="preserve"> </w:t>
      </w:r>
      <w:r w:rsidR="00B71A92" w:rsidRPr="00516410">
        <w:t>participant</w:t>
      </w:r>
      <w:r w:rsidR="00C70953" w:rsidRPr="00516410">
        <w:t xml:space="preserve"> default).</w:t>
      </w:r>
    </w:p>
    <w:p w14:paraId="1AF6A1F9" w14:textId="34E5A536" w:rsidR="006E457C" w:rsidRDefault="006E457C" w:rsidP="00923137">
      <w:pPr>
        <w:pStyle w:val="ListParagraph"/>
        <w:numPr>
          <w:ilvl w:val="0"/>
          <w:numId w:val="7"/>
        </w:numPr>
        <w:spacing w:line="240" w:lineRule="auto"/>
        <w:ind w:left="1260"/>
      </w:pPr>
      <w:r w:rsidRPr="00516410">
        <w:t>There will need to be assessments of many</w:t>
      </w:r>
      <w:r>
        <w:t xml:space="preserve"> systems before any decision can be made to add a morning payment exchange at CDS.</w:t>
      </w:r>
    </w:p>
    <w:p w14:paraId="638FB28D" w14:textId="179E47EF" w:rsidR="00597F3F" w:rsidRDefault="00741E2E" w:rsidP="00D72A09">
      <w:pPr>
        <w:pStyle w:val="ListParagraph"/>
        <w:numPr>
          <w:ilvl w:val="1"/>
          <w:numId w:val="7"/>
        </w:numPr>
        <w:spacing w:line="240" w:lineRule="auto"/>
        <w:ind w:left="1620"/>
      </w:pPr>
      <w:r>
        <w:t xml:space="preserve">Issue of LVTS, </w:t>
      </w:r>
      <w:r w:rsidR="00095B1C">
        <w:t>continuous linked settlement (</w:t>
      </w:r>
      <w:r>
        <w:t>CLS</w:t>
      </w:r>
      <w:r w:rsidR="00095B1C">
        <w:t xml:space="preserve">) </w:t>
      </w:r>
      <w:r w:rsidR="00365E15">
        <w:t>for foreign exchange</w:t>
      </w:r>
      <w:r>
        <w:t xml:space="preserve">, </w:t>
      </w:r>
      <w:r w:rsidR="00EE7616">
        <w:t>other changes, timing</w:t>
      </w:r>
      <w:r w:rsidR="00067F76">
        <w:t>.</w:t>
      </w:r>
    </w:p>
    <w:p w14:paraId="0107D1A7" w14:textId="3D671FC6" w:rsidR="0095774A" w:rsidRDefault="0095774A" w:rsidP="00D72A09">
      <w:pPr>
        <w:pStyle w:val="ListParagraph"/>
        <w:numPr>
          <w:ilvl w:val="1"/>
          <w:numId w:val="7"/>
        </w:numPr>
        <w:spacing w:line="240" w:lineRule="auto"/>
        <w:ind w:left="1620"/>
      </w:pPr>
      <w:r>
        <w:t>Impact on CDSX-</w:t>
      </w:r>
      <w:r w:rsidR="00635FF8">
        <w:t>DTCC</w:t>
      </w:r>
      <w:r>
        <w:t>/NSCC interface</w:t>
      </w:r>
      <w:r w:rsidR="00067F76">
        <w:t>.</w:t>
      </w:r>
    </w:p>
    <w:p w14:paraId="60DB929E" w14:textId="495034A8" w:rsidR="00411E65" w:rsidRPr="00411E65" w:rsidRDefault="007020C4" w:rsidP="00D72A09">
      <w:pPr>
        <w:pStyle w:val="ListParagraph"/>
        <w:numPr>
          <w:ilvl w:val="1"/>
          <w:numId w:val="7"/>
        </w:numPr>
        <w:spacing w:line="240" w:lineRule="auto"/>
        <w:ind w:left="1620"/>
      </w:pPr>
      <w:r>
        <w:rPr>
          <w:rFonts w:cs="Arial"/>
          <w:color w:val="000000"/>
        </w:rPr>
        <w:t xml:space="preserve">Issue of </w:t>
      </w:r>
      <w:r w:rsidR="00411E65" w:rsidRPr="00411E65">
        <w:rPr>
          <w:rFonts w:cs="Arial"/>
          <w:color w:val="000000"/>
        </w:rPr>
        <w:t>CNS trades offset by institutional trades that may not get confirmed in the night cycle that might increase fails</w:t>
      </w:r>
      <w:r w:rsidR="00365E15">
        <w:rPr>
          <w:rFonts w:cs="Arial"/>
          <w:color w:val="000000"/>
        </w:rPr>
        <w:t>.</w:t>
      </w:r>
    </w:p>
    <w:p w14:paraId="3748DBDC" w14:textId="193B5C57" w:rsidR="00FA263E" w:rsidRPr="00EC5FEC" w:rsidRDefault="00FA263E" w:rsidP="00D72A09">
      <w:pPr>
        <w:pStyle w:val="ListParagraph"/>
        <w:numPr>
          <w:ilvl w:val="1"/>
          <w:numId w:val="7"/>
        </w:numPr>
        <w:spacing w:line="240" w:lineRule="auto"/>
        <w:ind w:left="1620"/>
      </w:pPr>
      <w:r>
        <w:rPr>
          <w:rFonts w:cs="Arial"/>
          <w:color w:val="000000"/>
        </w:rPr>
        <w:t xml:space="preserve">Need </w:t>
      </w:r>
      <w:r w:rsidR="00365E15">
        <w:rPr>
          <w:rFonts w:cs="Arial"/>
          <w:color w:val="000000"/>
        </w:rPr>
        <w:t xml:space="preserve">for </w:t>
      </w:r>
      <w:r>
        <w:rPr>
          <w:rFonts w:cs="Arial"/>
          <w:color w:val="000000"/>
        </w:rPr>
        <w:t>an earlier start for staff or arrangements with third parties</w:t>
      </w:r>
      <w:r w:rsidR="00067F76">
        <w:rPr>
          <w:rFonts w:cs="Arial"/>
          <w:color w:val="000000"/>
        </w:rPr>
        <w:t>.</w:t>
      </w:r>
    </w:p>
    <w:p w14:paraId="6E935FDB" w14:textId="25D786C0" w:rsidR="00CC1EBB" w:rsidRPr="00EC5FEC" w:rsidRDefault="00AF44B8" w:rsidP="00D72A09">
      <w:pPr>
        <w:pStyle w:val="ListParagraph"/>
        <w:numPr>
          <w:ilvl w:val="1"/>
          <w:numId w:val="7"/>
        </w:numPr>
        <w:spacing w:line="240" w:lineRule="auto"/>
        <w:ind w:left="1620"/>
      </w:pPr>
      <w:r>
        <w:rPr>
          <w:rFonts w:cs="Arial"/>
          <w:color w:val="000000"/>
        </w:rPr>
        <w:t xml:space="preserve">How early is “too early” for </w:t>
      </w:r>
      <w:r w:rsidR="00067F76">
        <w:rPr>
          <w:rFonts w:cs="Arial"/>
          <w:color w:val="000000"/>
        </w:rPr>
        <w:t xml:space="preserve">participants and LVTS participants </w:t>
      </w:r>
      <w:r>
        <w:rPr>
          <w:rFonts w:cs="Arial"/>
          <w:color w:val="000000"/>
        </w:rPr>
        <w:t>out west?</w:t>
      </w:r>
    </w:p>
    <w:p w14:paraId="3723971E" w14:textId="77777777" w:rsidR="00741E2E" w:rsidRPr="00803F52" w:rsidRDefault="00741E2E" w:rsidP="00CF7DDE">
      <w:pPr>
        <w:spacing w:line="240" w:lineRule="auto"/>
        <w:ind w:left="360"/>
        <w:rPr>
          <w:lang w:val="en-CA"/>
        </w:rPr>
      </w:pPr>
    </w:p>
    <w:p w14:paraId="580FF068" w14:textId="7F7A6958" w:rsidR="00096582" w:rsidRPr="00D72A09" w:rsidRDefault="00D52D13">
      <w:pPr>
        <w:pStyle w:val="Heading2"/>
        <w:numPr>
          <w:ilvl w:val="0"/>
          <w:numId w:val="2"/>
        </w:numPr>
        <w:rPr>
          <w:rFonts w:eastAsia="Times New Roman"/>
        </w:rPr>
      </w:pPr>
      <w:r w:rsidRPr="00D72A09">
        <w:rPr>
          <w:rFonts w:eastAsia="Times New Roman"/>
        </w:rPr>
        <w:tab/>
      </w:r>
      <w:bookmarkStart w:id="14" w:name="_Toc5169412"/>
      <w:r w:rsidR="00096582" w:rsidRPr="00D72A09">
        <w:rPr>
          <w:rFonts w:eastAsia="Times New Roman"/>
        </w:rPr>
        <w:t>Determine the financial impact</w:t>
      </w:r>
      <w:bookmarkEnd w:id="14"/>
    </w:p>
    <w:p w14:paraId="0F98D108" w14:textId="33BD8F4B" w:rsidR="00B15E9A" w:rsidRDefault="00B15E9A" w:rsidP="00B220B8">
      <w:pPr>
        <w:keepNext/>
        <w:keepLines/>
        <w:spacing w:line="240" w:lineRule="auto"/>
        <w:ind w:left="360"/>
      </w:pPr>
    </w:p>
    <w:p w14:paraId="1EE0B47C" w14:textId="7AB5D197" w:rsidR="00FB6CA6" w:rsidRPr="00516410" w:rsidRDefault="007648F2" w:rsidP="00B220B8">
      <w:pPr>
        <w:pStyle w:val="ListParagraph"/>
        <w:numPr>
          <w:ilvl w:val="0"/>
          <w:numId w:val="7"/>
        </w:numPr>
        <w:ind w:left="1267"/>
        <w:rPr>
          <w:rFonts w:cs="Arial"/>
          <w:i/>
        </w:rPr>
      </w:pPr>
      <w:r>
        <w:t xml:space="preserve">Collateral requirements: </w:t>
      </w:r>
      <w:r w:rsidR="006E457C">
        <w:t xml:space="preserve">There </w:t>
      </w:r>
      <w:r w:rsidR="001A5BE3">
        <w:t>are</w:t>
      </w:r>
      <w:r w:rsidR="006E457C">
        <w:t xml:space="preserve"> </w:t>
      </w:r>
      <w:r w:rsidR="00FB6CA6">
        <w:t xml:space="preserve">no </w:t>
      </w:r>
      <w:r w:rsidR="006E457C">
        <w:t>reductions in collateral requirements expected should a morning payment exchange be introduced in Canada</w:t>
      </w:r>
      <w:r w:rsidR="00FB6CA6">
        <w:t xml:space="preserve">, since CDS </w:t>
      </w:r>
      <w:r>
        <w:t xml:space="preserve">already </w:t>
      </w:r>
      <w:r w:rsidR="00FB6CA6">
        <w:t xml:space="preserve">excludes trades from </w:t>
      </w:r>
      <w:r w:rsidR="00FB6CA6" w:rsidRPr="00516410">
        <w:t xml:space="preserve">attracting collateral if they were completed during the </w:t>
      </w:r>
      <w:r w:rsidR="00CA7D34">
        <w:t xml:space="preserve">overnight </w:t>
      </w:r>
      <w:r w:rsidR="00FB6CA6" w:rsidRPr="00516410">
        <w:t>Batch Net Settlement process.</w:t>
      </w:r>
    </w:p>
    <w:p w14:paraId="5BDDAE1F" w14:textId="2E718ED8" w:rsidR="00FB6CA6" w:rsidRPr="00516410" w:rsidRDefault="007648F2" w:rsidP="00923137">
      <w:pPr>
        <w:pStyle w:val="ListParagraph"/>
        <w:numPr>
          <w:ilvl w:val="0"/>
          <w:numId w:val="7"/>
        </w:numPr>
        <w:ind w:left="1260"/>
        <w:rPr>
          <w:rFonts w:cs="Arial"/>
          <w:i/>
        </w:rPr>
      </w:pPr>
      <w:r>
        <w:lastRenderedPageBreak/>
        <w:t xml:space="preserve">ACV requirements:  </w:t>
      </w:r>
      <w:r w:rsidR="00FB6CA6" w:rsidRPr="00516410">
        <w:t xml:space="preserve">Additional ACV would be available to participants once the </w:t>
      </w:r>
      <w:r w:rsidR="00BF50AD" w:rsidRPr="00516410">
        <w:t>p</w:t>
      </w:r>
      <w:r w:rsidR="00FB6CA6" w:rsidRPr="00516410">
        <w:t xml:space="preserve">ayment </w:t>
      </w:r>
      <w:r w:rsidR="00BF50AD" w:rsidRPr="00516410">
        <w:t>e</w:t>
      </w:r>
      <w:r w:rsidR="00FB6CA6" w:rsidRPr="00516410">
        <w:t xml:space="preserve">xchange is completed. This could </w:t>
      </w:r>
      <w:r w:rsidR="00CA7D34">
        <w:t xml:space="preserve">substantially reduce or </w:t>
      </w:r>
      <w:r w:rsidR="00FB6CA6" w:rsidRPr="00516410">
        <w:t xml:space="preserve">eliminate the need to make a funds deposit during the day to create </w:t>
      </w:r>
      <w:r w:rsidR="00CA7D34">
        <w:t xml:space="preserve">the </w:t>
      </w:r>
      <w:r w:rsidR="00FB6CA6" w:rsidRPr="00516410">
        <w:t>required ACV to complete the balance of trades by the end of the day.</w:t>
      </w:r>
    </w:p>
    <w:p w14:paraId="57118923" w14:textId="558873B7" w:rsidR="00405E78" w:rsidRPr="00516410" w:rsidRDefault="00405E78" w:rsidP="00FB6CA6">
      <w:pPr>
        <w:pStyle w:val="ListParagraph"/>
        <w:numPr>
          <w:ilvl w:val="0"/>
          <w:numId w:val="7"/>
        </w:numPr>
        <w:ind w:left="1260"/>
      </w:pPr>
      <w:r w:rsidRPr="00516410">
        <w:t>Development (</w:t>
      </w:r>
      <w:r w:rsidR="00CA7D34">
        <w:t xml:space="preserve">staff </w:t>
      </w:r>
      <w:r w:rsidRPr="00516410">
        <w:t xml:space="preserve">and cost) impacts:  </w:t>
      </w:r>
      <w:r w:rsidR="00CA7D34">
        <w:t>It was identified that this initiative would only require small to medium development effort (i.e.</w:t>
      </w:r>
      <w:r w:rsidR="007648F2">
        <w:t>,</w:t>
      </w:r>
      <w:r w:rsidR="00CA7D34">
        <w:t xml:space="preserve"> </w:t>
      </w:r>
      <w:r w:rsidR="007648F2">
        <w:t>l</w:t>
      </w:r>
      <w:r w:rsidR="00CA7D34">
        <w:t>ess than $500K per firm) if it was recommended for implementation.</w:t>
      </w:r>
    </w:p>
    <w:p w14:paraId="4D0F5632" w14:textId="3FBD7295" w:rsidR="00A608E3" w:rsidRPr="007648F2" w:rsidRDefault="00A608E3" w:rsidP="00923137">
      <w:pPr>
        <w:pStyle w:val="ListParagraph"/>
        <w:numPr>
          <w:ilvl w:val="0"/>
          <w:numId w:val="7"/>
        </w:numPr>
        <w:ind w:left="1260"/>
      </w:pPr>
      <w:r w:rsidRPr="00516410">
        <w:t xml:space="preserve">Ongoing costs:  </w:t>
      </w:r>
      <w:r w:rsidR="006B19AD" w:rsidRPr="00B220B8">
        <w:t xml:space="preserve">While no specific numbers are provided at this time, should a morning </w:t>
      </w:r>
      <w:r w:rsidR="00B7727B">
        <w:t>p</w:t>
      </w:r>
      <w:r w:rsidR="006B19AD" w:rsidRPr="00B220B8">
        <w:t xml:space="preserve">ayment </w:t>
      </w:r>
      <w:r w:rsidR="00B7727B">
        <w:t>e</w:t>
      </w:r>
      <w:r w:rsidR="006B19AD" w:rsidRPr="00B220B8">
        <w:t xml:space="preserve">xchange be introduced in Canada, participants would need to consider adding earlier start times for </w:t>
      </w:r>
      <w:r w:rsidR="00B7727B">
        <w:t>o</w:t>
      </w:r>
      <w:r w:rsidR="006B19AD" w:rsidRPr="00B220B8">
        <w:t xml:space="preserve">perational staff, as well as potentially staff from </w:t>
      </w:r>
      <w:r w:rsidR="00B7727B">
        <w:t>r</w:t>
      </w:r>
      <w:r w:rsidR="006B19AD" w:rsidRPr="00B220B8">
        <w:t xml:space="preserve">isk </w:t>
      </w:r>
      <w:r w:rsidR="00B7727B">
        <w:t>m</w:t>
      </w:r>
      <w:r w:rsidR="006B19AD" w:rsidRPr="00B220B8">
        <w:t xml:space="preserve">anagement, </w:t>
      </w:r>
      <w:r w:rsidR="00B7727B">
        <w:t>b</w:t>
      </w:r>
      <w:r w:rsidR="006B19AD" w:rsidRPr="00B220B8">
        <w:t>orrowing/</w:t>
      </w:r>
      <w:r w:rsidR="00B7727B">
        <w:t>l</w:t>
      </w:r>
      <w:r w:rsidR="006B19AD" w:rsidRPr="00B220B8">
        <w:t xml:space="preserve">ending, and </w:t>
      </w:r>
      <w:r w:rsidR="00B7727B">
        <w:t>c</w:t>
      </w:r>
      <w:r w:rsidR="006B19AD" w:rsidRPr="00B220B8">
        <w:t xml:space="preserve">ash </w:t>
      </w:r>
      <w:r w:rsidR="00B7727B">
        <w:t>m</w:t>
      </w:r>
      <w:r w:rsidR="006B19AD" w:rsidRPr="00B220B8">
        <w:t xml:space="preserve">anagement, etc. Other cost implications would include the cost of </w:t>
      </w:r>
      <w:r w:rsidR="00B7727B">
        <w:t>f</w:t>
      </w:r>
      <w:r w:rsidR="006B19AD" w:rsidRPr="00B220B8">
        <w:t xml:space="preserve">unding a morning </w:t>
      </w:r>
      <w:r w:rsidR="00B7727B">
        <w:t>p</w:t>
      </w:r>
      <w:r w:rsidR="006B19AD" w:rsidRPr="00B220B8">
        <w:t xml:space="preserve">ayment </w:t>
      </w:r>
      <w:r w:rsidR="00B7727B">
        <w:t>e</w:t>
      </w:r>
      <w:r w:rsidR="006B19AD" w:rsidRPr="00B220B8">
        <w:t xml:space="preserve">xchange until credits </w:t>
      </w:r>
      <w:r w:rsidR="002763D4" w:rsidRPr="00B220B8">
        <w:t>could</w:t>
      </w:r>
      <w:r w:rsidR="006B19AD" w:rsidRPr="00B220B8">
        <w:t xml:space="preserve"> be received </w:t>
      </w:r>
      <w:r w:rsidR="002763D4" w:rsidRPr="00B220B8">
        <w:t xml:space="preserve">in the afternoon </w:t>
      </w:r>
      <w:r w:rsidR="00B7727B">
        <w:t>p</w:t>
      </w:r>
      <w:r w:rsidR="002763D4" w:rsidRPr="00B220B8">
        <w:t xml:space="preserve">ayment </w:t>
      </w:r>
      <w:r w:rsidR="00B7727B">
        <w:t>e</w:t>
      </w:r>
      <w:r w:rsidR="002763D4" w:rsidRPr="00B220B8">
        <w:t>xchange</w:t>
      </w:r>
      <w:r w:rsidR="00833DF9">
        <w:t xml:space="preserve"> and </w:t>
      </w:r>
      <w:r w:rsidR="006B19AD" w:rsidRPr="00B220B8">
        <w:t xml:space="preserve">the cost of </w:t>
      </w:r>
      <w:r w:rsidR="002763D4" w:rsidRPr="00B220B8">
        <w:t>c</w:t>
      </w:r>
      <w:r w:rsidR="006B19AD" w:rsidRPr="00B220B8">
        <w:t xml:space="preserve">ollateral to fund the LVTS payments (by </w:t>
      </w:r>
      <w:r w:rsidR="00B7727B">
        <w:t>p</w:t>
      </w:r>
      <w:r w:rsidR="006B19AD" w:rsidRPr="00B220B8">
        <w:t xml:space="preserve">aying </w:t>
      </w:r>
      <w:r w:rsidR="00B7727B">
        <w:t>a</w:t>
      </w:r>
      <w:r w:rsidR="006B19AD" w:rsidRPr="00B220B8">
        <w:t>gents)</w:t>
      </w:r>
      <w:r w:rsidR="002763D4" w:rsidRPr="00B220B8">
        <w:t xml:space="preserve"> in the morning.</w:t>
      </w:r>
    </w:p>
    <w:p w14:paraId="64CAB470" w14:textId="77777777" w:rsidR="00BB0B50" w:rsidRPr="00516410" w:rsidRDefault="00BB0B50" w:rsidP="00CF7DDE">
      <w:pPr>
        <w:spacing w:line="240" w:lineRule="auto"/>
        <w:ind w:left="360"/>
      </w:pPr>
    </w:p>
    <w:p w14:paraId="7686A683" w14:textId="51C4A1A7" w:rsidR="00096582" w:rsidRPr="00D72A09" w:rsidRDefault="00D52D13" w:rsidP="00D72A09">
      <w:pPr>
        <w:pStyle w:val="Heading2"/>
        <w:numPr>
          <w:ilvl w:val="0"/>
          <w:numId w:val="2"/>
        </w:numPr>
        <w:rPr>
          <w:rFonts w:eastAsia="Times New Roman"/>
        </w:rPr>
      </w:pPr>
      <w:r w:rsidRPr="00D72A09">
        <w:rPr>
          <w:rFonts w:eastAsia="Times New Roman"/>
        </w:rPr>
        <w:tab/>
      </w:r>
      <w:bookmarkStart w:id="15" w:name="_Toc5169413"/>
      <w:r w:rsidR="00096582" w:rsidRPr="00D72A09">
        <w:rPr>
          <w:rFonts w:eastAsia="Times New Roman"/>
        </w:rPr>
        <w:t>Assess the preferred timing of a conversion</w:t>
      </w:r>
      <w:r w:rsidR="001E7873" w:rsidRPr="00D72A09">
        <w:rPr>
          <w:rFonts w:eastAsia="Times New Roman"/>
        </w:rPr>
        <w:t xml:space="preserve">, if </w:t>
      </w:r>
      <w:r w:rsidR="00FA51D6" w:rsidRPr="00D72A09">
        <w:rPr>
          <w:rFonts w:eastAsia="Times New Roman"/>
        </w:rPr>
        <w:t>desired</w:t>
      </w:r>
      <w:bookmarkEnd w:id="15"/>
    </w:p>
    <w:p w14:paraId="4F202777" w14:textId="2F75F5E9" w:rsidR="00B15E9A" w:rsidRPr="00516410" w:rsidRDefault="00B15E9A" w:rsidP="00993DB2">
      <w:pPr>
        <w:pStyle w:val="ListParagraph"/>
        <w:shd w:val="clear" w:color="auto" w:fill="FFFFFF"/>
        <w:spacing w:line="240" w:lineRule="auto"/>
        <w:ind w:left="1080"/>
        <w:rPr>
          <w:rFonts w:eastAsia="Times New Roman" w:cs="Arial"/>
        </w:rPr>
      </w:pPr>
    </w:p>
    <w:p w14:paraId="61930583" w14:textId="6CE0EA18" w:rsidR="00FB6CA6" w:rsidRPr="00516410" w:rsidRDefault="00FB6CA6" w:rsidP="00923137">
      <w:pPr>
        <w:pStyle w:val="ListParagraph"/>
        <w:numPr>
          <w:ilvl w:val="0"/>
          <w:numId w:val="6"/>
        </w:numPr>
        <w:shd w:val="clear" w:color="auto" w:fill="FFFFFF"/>
        <w:spacing w:line="240" w:lineRule="auto"/>
        <w:ind w:left="1260"/>
        <w:rPr>
          <w:rFonts w:eastAsia="Times New Roman" w:cs="Arial"/>
        </w:rPr>
      </w:pPr>
      <w:r w:rsidRPr="00516410">
        <w:rPr>
          <w:rFonts w:eastAsia="Times New Roman" w:cs="Arial"/>
        </w:rPr>
        <w:t>Since DTCC is no longer considering a similar move in the U</w:t>
      </w:r>
      <w:r w:rsidR="00BF50AD" w:rsidRPr="00516410">
        <w:rPr>
          <w:rFonts w:eastAsia="Times New Roman" w:cs="Arial"/>
        </w:rPr>
        <w:t>.</w:t>
      </w:r>
      <w:r w:rsidRPr="00516410">
        <w:rPr>
          <w:rFonts w:eastAsia="Times New Roman" w:cs="Arial"/>
        </w:rPr>
        <w:t>S</w:t>
      </w:r>
      <w:r w:rsidR="00BF50AD" w:rsidRPr="00516410">
        <w:rPr>
          <w:rFonts w:eastAsia="Times New Roman" w:cs="Arial"/>
        </w:rPr>
        <w:t>.</w:t>
      </w:r>
      <w:r w:rsidRPr="00516410">
        <w:rPr>
          <w:rFonts w:eastAsia="Times New Roman" w:cs="Arial"/>
        </w:rPr>
        <w:t>, CDS does not need to consider aligning with DTCC.</w:t>
      </w:r>
    </w:p>
    <w:p w14:paraId="54A109C1" w14:textId="252B66CE" w:rsidR="005A2556" w:rsidRPr="00516410" w:rsidRDefault="005A2556" w:rsidP="00923137">
      <w:pPr>
        <w:pStyle w:val="ListParagraph"/>
        <w:numPr>
          <w:ilvl w:val="0"/>
          <w:numId w:val="6"/>
        </w:numPr>
        <w:shd w:val="clear" w:color="auto" w:fill="FFFFFF"/>
        <w:spacing w:line="240" w:lineRule="auto"/>
        <w:ind w:left="1260"/>
        <w:rPr>
          <w:rFonts w:eastAsia="Times New Roman" w:cs="Arial"/>
        </w:rPr>
      </w:pPr>
      <w:r w:rsidRPr="00516410">
        <w:rPr>
          <w:rFonts w:eastAsia="Times New Roman" w:cs="Arial"/>
        </w:rPr>
        <w:t xml:space="preserve">It seems to make the most sense that if a morning </w:t>
      </w:r>
      <w:r w:rsidR="006C3CAA" w:rsidRPr="00516410">
        <w:rPr>
          <w:rFonts w:eastAsia="Times New Roman" w:cs="Arial"/>
        </w:rPr>
        <w:t>p</w:t>
      </w:r>
      <w:r w:rsidRPr="00516410">
        <w:rPr>
          <w:rFonts w:eastAsia="Times New Roman" w:cs="Arial"/>
        </w:rPr>
        <w:t xml:space="preserve">ayment </w:t>
      </w:r>
      <w:r w:rsidR="006C3CAA" w:rsidRPr="00516410">
        <w:rPr>
          <w:rFonts w:eastAsia="Times New Roman" w:cs="Arial"/>
        </w:rPr>
        <w:t>e</w:t>
      </w:r>
      <w:r w:rsidRPr="00516410">
        <w:rPr>
          <w:rFonts w:eastAsia="Times New Roman" w:cs="Arial"/>
        </w:rPr>
        <w:t xml:space="preserve">xchange </w:t>
      </w:r>
      <w:r w:rsidR="006C3CAA" w:rsidRPr="00516410">
        <w:rPr>
          <w:rFonts w:eastAsia="Times New Roman" w:cs="Arial"/>
        </w:rPr>
        <w:t xml:space="preserve">is to </w:t>
      </w:r>
      <w:r w:rsidRPr="00516410">
        <w:rPr>
          <w:rFonts w:eastAsia="Times New Roman" w:cs="Arial"/>
        </w:rPr>
        <w:t xml:space="preserve">be considered, then </w:t>
      </w:r>
      <w:r w:rsidR="00833DF9">
        <w:rPr>
          <w:rFonts w:eastAsia="Times New Roman" w:cs="Arial"/>
        </w:rPr>
        <w:t xml:space="preserve">from a timing perspective, it should be </w:t>
      </w:r>
      <w:r w:rsidRPr="00516410">
        <w:rPr>
          <w:rFonts w:eastAsia="Times New Roman" w:cs="Arial"/>
        </w:rPr>
        <w:t>implement</w:t>
      </w:r>
      <w:r w:rsidR="00833DF9">
        <w:rPr>
          <w:rFonts w:eastAsia="Times New Roman" w:cs="Arial"/>
        </w:rPr>
        <w:t>ed</w:t>
      </w:r>
      <w:r w:rsidRPr="00516410">
        <w:rPr>
          <w:rFonts w:eastAsia="Times New Roman" w:cs="Arial"/>
        </w:rPr>
        <w:t xml:space="preserve"> either with Atlas (if that makes sense from a development point of view) or sometime after Atlas.</w:t>
      </w:r>
    </w:p>
    <w:p w14:paraId="597CB69F" w14:textId="6BE22D92" w:rsidR="004C1615" w:rsidRPr="00516410" w:rsidRDefault="005A2556" w:rsidP="00923137">
      <w:pPr>
        <w:pStyle w:val="ListParagraph"/>
        <w:numPr>
          <w:ilvl w:val="0"/>
          <w:numId w:val="6"/>
        </w:numPr>
        <w:shd w:val="clear" w:color="auto" w:fill="FFFFFF"/>
        <w:spacing w:line="240" w:lineRule="auto"/>
        <w:ind w:left="1260"/>
        <w:rPr>
          <w:rFonts w:eastAsia="Times New Roman" w:cs="Arial"/>
        </w:rPr>
      </w:pPr>
      <w:r w:rsidRPr="00516410">
        <w:rPr>
          <w:rFonts w:eastAsia="Times New Roman" w:cs="Arial"/>
        </w:rPr>
        <w:t>If this were to be considered</w:t>
      </w:r>
      <w:r w:rsidR="006C3CAA" w:rsidRPr="00516410">
        <w:rPr>
          <w:rFonts w:eastAsia="Times New Roman" w:cs="Arial"/>
        </w:rPr>
        <w:t>,</w:t>
      </w:r>
      <w:r w:rsidRPr="00516410">
        <w:rPr>
          <w:rFonts w:eastAsia="Times New Roman" w:cs="Arial"/>
        </w:rPr>
        <w:t xml:space="preserve"> it should be determined if this should be </w:t>
      </w:r>
      <w:r w:rsidR="00FA51D6" w:rsidRPr="00516410">
        <w:rPr>
          <w:rFonts w:eastAsia="Times New Roman" w:cs="Arial"/>
        </w:rPr>
        <w:t xml:space="preserve">for </w:t>
      </w:r>
      <w:r w:rsidR="004C1615" w:rsidRPr="00516410">
        <w:rPr>
          <w:rFonts w:eastAsia="Times New Roman" w:cs="Arial"/>
        </w:rPr>
        <w:t xml:space="preserve">an industry-wide move </w:t>
      </w:r>
      <w:r w:rsidR="00FA51D6" w:rsidRPr="00516410">
        <w:rPr>
          <w:rFonts w:eastAsia="Times New Roman" w:cs="Arial"/>
        </w:rPr>
        <w:t xml:space="preserve">vs </w:t>
      </w:r>
      <w:r w:rsidR="004C1615" w:rsidRPr="00516410">
        <w:rPr>
          <w:rFonts w:eastAsia="Times New Roman" w:cs="Arial"/>
        </w:rPr>
        <w:t xml:space="preserve">optional </w:t>
      </w:r>
      <w:r w:rsidRPr="00516410">
        <w:rPr>
          <w:rFonts w:eastAsia="Times New Roman" w:cs="Arial"/>
        </w:rPr>
        <w:t>at the participant level.</w:t>
      </w:r>
    </w:p>
    <w:p w14:paraId="5B67B0CD" w14:textId="673A804E" w:rsidR="004C1615" w:rsidRPr="00715B25" w:rsidRDefault="004C1615" w:rsidP="00CF7DDE">
      <w:pPr>
        <w:spacing w:line="240" w:lineRule="auto"/>
        <w:ind w:left="360"/>
      </w:pPr>
    </w:p>
    <w:p w14:paraId="26AEF38A" w14:textId="52B164E8" w:rsidR="00096582" w:rsidRPr="00A20E37" w:rsidRDefault="00D23D31" w:rsidP="00B220B8">
      <w:pPr>
        <w:pStyle w:val="ListParagraph"/>
        <w:numPr>
          <w:ilvl w:val="0"/>
          <w:numId w:val="24"/>
        </w:numPr>
        <w:ind w:left="360"/>
        <w:rPr>
          <w:sz w:val="28"/>
          <w:szCs w:val="28"/>
        </w:rPr>
      </w:pPr>
      <w:bookmarkStart w:id="16" w:name="Recommendation"/>
      <w:bookmarkStart w:id="17" w:name="_Toc5169414"/>
      <w:r w:rsidRPr="00A20E37">
        <w:rPr>
          <w:b/>
          <w:sz w:val="28"/>
          <w:szCs w:val="28"/>
        </w:rPr>
        <w:t>R</w:t>
      </w:r>
      <w:r w:rsidR="00096582" w:rsidRPr="00A20E37">
        <w:rPr>
          <w:b/>
          <w:sz w:val="28"/>
          <w:szCs w:val="28"/>
        </w:rPr>
        <w:t>ecommendation</w:t>
      </w:r>
      <w:bookmarkEnd w:id="16"/>
      <w:bookmarkEnd w:id="17"/>
    </w:p>
    <w:p w14:paraId="7A72081C" w14:textId="1F85175F" w:rsidR="00B15E9A" w:rsidRDefault="00B15E9A" w:rsidP="00CF7DDE">
      <w:pPr>
        <w:spacing w:line="240" w:lineRule="auto"/>
        <w:ind w:left="360"/>
      </w:pPr>
    </w:p>
    <w:p w14:paraId="4FDE4CDC" w14:textId="46B1BDD2" w:rsidR="00E854CA" w:rsidRPr="00B220B8" w:rsidRDefault="007D05EA" w:rsidP="007D05EA">
      <w:pPr>
        <w:spacing w:line="240" w:lineRule="auto"/>
        <w:ind w:left="360"/>
      </w:pPr>
      <w:r w:rsidRPr="00B220B8">
        <w:t xml:space="preserve">Late in the </w:t>
      </w:r>
      <w:bookmarkStart w:id="18" w:name="_GoBack"/>
      <w:bookmarkEnd w:id="18"/>
      <w:r w:rsidRPr="00B220B8">
        <w:t>Fall of 2018, t</w:t>
      </w:r>
      <w:r w:rsidR="0050201D" w:rsidRPr="00B220B8">
        <w:t xml:space="preserve">he CCMA was asked to engage </w:t>
      </w:r>
      <w:r w:rsidRPr="00B220B8">
        <w:t xml:space="preserve">with </w:t>
      </w:r>
      <w:r w:rsidR="0050201D" w:rsidRPr="00B220B8">
        <w:t xml:space="preserve">the industry to determine if CDS should implement a morning </w:t>
      </w:r>
      <w:r w:rsidR="008203CC">
        <w:t>p</w:t>
      </w:r>
      <w:r w:rsidR="0050201D" w:rsidRPr="00B220B8">
        <w:t xml:space="preserve">ayment </w:t>
      </w:r>
      <w:r w:rsidR="008203CC">
        <w:t>e</w:t>
      </w:r>
      <w:r w:rsidR="0050201D" w:rsidRPr="00B220B8">
        <w:t xml:space="preserve">xchange to align </w:t>
      </w:r>
      <w:r w:rsidRPr="00B220B8">
        <w:t xml:space="preserve">the Canadian market </w:t>
      </w:r>
      <w:r w:rsidR="0050201D" w:rsidRPr="00B220B8">
        <w:t>with the proposals being considered by DTCC</w:t>
      </w:r>
      <w:r w:rsidRPr="00B220B8">
        <w:t xml:space="preserve"> for the U</w:t>
      </w:r>
      <w:r w:rsidR="008203CC">
        <w:t>.</w:t>
      </w:r>
      <w:r w:rsidRPr="00B220B8">
        <w:t>S</w:t>
      </w:r>
      <w:r w:rsidR="008203CC">
        <w:t>.</w:t>
      </w:r>
      <w:r w:rsidRPr="00B220B8">
        <w:t xml:space="preserve"> market</w:t>
      </w:r>
      <w:r w:rsidR="0050201D" w:rsidRPr="00B220B8">
        <w:t xml:space="preserve">. However, since </w:t>
      </w:r>
      <w:r w:rsidR="008203CC">
        <w:t xml:space="preserve">the CCMA </w:t>
      </w:r>
      <w:r w:rsidR="0050201D" w:rsidRPr="00B220B8">
        <w:t>commenced with our review, DTCC and their members have concluded that a morning settlement process in the U</w:t>
      </w:r>
      <w:r w:rsidR="008203CC">
        <w:t>.</w:t>
      </w:r>
      <w:r w:rsidR="0050201D" w:rsidRPr="00B220B8">
        <w:t>S</w:t>
      </w:r>
      <w:r w:rsidR="008203CC">
        <w:t>.</w:t>
      </w:r>
      <w:r w:rsidR="0050201D" w:rsidRPr="00B220B8">
        <w:t xml:space="preserve"> was not an appropriate use of resources at this time. Instead they are now </w:t>
      </w:r>
      <w:r w:rsidRPr="00B220B8">
        <w:t>considering</w:t>
      </w:r>
      <w:r w:rsidR="0050201D" w:rsidRPr="00B220B8">
        <w:t xml:space="preserve"> another alternative that </w:t>
      </w:r>
      <w:r w:rsidR="008203CC">
        <w:t xml:space="preserve">would </w:t>
      </w:r>
      <w:r w:rsidR="0050201D" w:rsidRPr="00B220B8">
        <w:t xml:space="preserve">only require </w:t>
      </w:r>
      <w:r w:rsidRPr="00B220B8">
        <w:t>a minimal</w:t>
      </w:r>
      <w:r w:rsidR="0050201D" w:rsidRPr="00B220B8">
        <w:t xml:space="preserve"> </w:t>
      </w:r>
      <w:r w:rsidRPr="00B220B8">
        <w:t>amount</w:t>
      </w:r>
      <w:r w:rsidR="0050201D" w:rsidRPr="00B220B8">
        <w:t xml:space="preserve"> of work to be completed by DTCC</w:t>
      </w:r>
      <w:r w:rsidR="008203CC">
        <w:t xml:space="preserve"> and essentially none by DTCC participants</w:t>
      </w:r>
      <w:r w:rsidR="0050201D" w:rsidRPr="00B220B8">
        <w:t xml:space="preserve">. This new </w:t>
      </w:r>
      <w:r w:rsidRPr="00B220B8">
        <w:t>alternative</w:t>
      </w:r>
      <w:r w:rsidR="0050201D" w:rsidRPr="00B220B8">
        <w:t xml:space="preserve">, while not as effective as a </w:t>
      </w:r>
      <w:r w:rsidRPr="00B220B8">
        <w:t>morning</w:t>
      </w:r>
      <w:r w:rsidR="0050201D" w:rsidRPr="00B220B8">
        <w:t xml:space="preserve"> settlement slice, is expected to provide much of the collateral relief </w:t>
      </w:r>
      <w:r w:rsidR="00E02D93">
        <w:t xml:space="preserve">DTCC and its participants </w:t>
      </w:r>
      <w:r w:rsidR="0050201D" w:rsidRPr="00B220B8">
        <w:t>had hoped to achieve.</w:t>
      </w:r>
    </w:p>
    <w:p w14:paraId="2523FA83" w14:textId="77777777" w:rsidR="007D05EA" w:rsidRPr="00B220B8" w:rsidRDefault="007D05EA" w:rsidP="007D05EA">
      <w:pPr>
        <w:spacing w:line="240" w:lineRule="auto"/>
        <w:ind w:left="360"/>
      </w:pPr>
    </w:p>
    <w:p w14:paraId="5E5B9AC4" w14:textId="48FB4EDA" w:rsidR="00D8065A" w:rsidRPr="00B220B8" w:rsidRDefault="007D05EA" w:rsidP="007D05EA">
      <w:pPr>
        <w:spacing w:line="240" w:lineRule="auto"/>
        <w:ind w:left="360"/>
      </w:pPr>
      <w:r w:rsidRPr="00B220B8">
        <w:t>However, the CDS participants wanted to complete their review since much of the work had nearly been completed when DTCC changed their approach. Consequently, several more meeting</w:t>
      </w:r>
      <w:r w:rsidR="00D85EAD" w:rsidRPr="00B220B8">
        <w:t>s</w:t>
      </w:r>
      <w:r w:rsidRPr="00B220B8">
        <w:t xml:space="preserve"> were held to determine if CDS could introduce a morning </w:t>
      </w:r>
      <w:r w:rsidR="00E02D93">
        <w:t>p</w:t>
      </w:r>
      <w:r w:rsidRPr="00B220B8">
        <w:t xml:space="preserve">ayment </w:t>
      </w:r>
      <w:r w:rsidR="00E02D93">
        <w:t>e</w:t>
      </w:r>
      <w:r w:rsidRPr="00B220B8">
        <w:t>xchange without the U</w:t>
      </w:r>
      <w:r w:rsidR="00E02D93">
        <w:t>.</w:t>
      </w:r>
      <w:r w:rsidRPr="00B220B8">
        <w:t>S</w:t>
      </w:r>
      <w:r w:rsidR="00E02D93">
        <w:t>.</w:t>
      </w:r>
      <w:r w:rsidRPr="00B220B8">
        <w:t>, AND gain the benefit of reduced collateral requirements being demanded by CDS. Our review concluded that since CDS does not collect collateral for trades that settle in the overnight Batch Net Settlement process, the only benefit that could be realized is an increase in ACV for member firms.</w:t>
      </w:r>
    </w:p>
    <w:p w14:paraId="5AB29415" w14:textId="77777777" w:rsidR="00D8065A" w:rsidRPr="00B220B8" w:rsidRDefault="00D8065A" w:rsidP="007D05EA">
      <w:pPr>
        <w:spacing w:line="240" w:lineRule="auto"/>
        <w:ind w:left="360"/>
      </w:pPr>
    </w:p>
    <w:p w14:paraId="4D4608A4" w14:textId="39B55358" w:rsidR="0034389C" w:rsidRPr="00833DF9" w:rsidRDefault="00D8065A" w:rsidP="00B220B8">
      <w:pPr>
        <w:spacing w:line="240" w:lineRule="auto"/>
        <w:ind w:left="360"/>
        <w:rPr>
          <w:rFonts w:cs="Arial"/>
        </w:rPr>
      </w:pPr>
      <w:r w:rsidRPr="00B220B8">
        <w:t xml:space="preserve">The conclusion determined by the CCMA committee is that without material collateral reduction being realized by member firms, a morning </w:t>
      </w:r>
      <w:r w:rsidR="006666AE">
        <w:t>p</w:t>
      </w:r>
      <w:r w:rsidRPr="00B220B8">
        <w:t xml:space="preserve">ayment </w:t>
      </w:r>
      <w:r w:rsidR="006666AE">
        <w:t>e</w:t>
      </w:r>
      <w:r w:rsidRPr="00B220B8">
        <w:t xml:space="preserve">xchange does not add material </w:t>
      </w:r>
      <w:r w:rsidR="006666AE">
        <w:t xml:space="preserve">enough </w:t>
      </w:r>
      <w:r w:rsidRPr="00B220B8">
        <w:t xml:space="preserve">benefits to </w:t>
      </w:r>
      <w:r w:rsidR="006666AE">
        <w:t>warrant work on implementation</w:t>
      </w:r>
      <w:r w:rsidRPr="00B220B8">
        <w:t xml:space="preserve"> at this time.</w:t>
      </w:r>
    </w:p>
    <w:sectPr w:rsidR="0034389C" w:rsidRPr="00833DF9" w:rsidSect="005831CC">
      <w:footerReference w:type="default" r:id="rId18"/>
      <w:pgSz w:w="12240" w:h="15840"/>
      <w:pgMar w:top="1440" w:right="1440" w:bottom="90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CA9E" w14:textId="77777777" w:rsidR="007F2645" w:rsidRDefault="007F2645" w:rsidP="00FF59F8">
      <w:pPr>
        <w:spacing w:line="240" w:lineRule="auto"/>
      </w:pPr>
      <w:r>
        <w:separator/>
      </w:r>
    </w:p>
  </w:endnote>
  <w:endnote w:type="continuationSeparator" w:id="0">
    <w:p w14:paraId="099AB0C5" w14:textId="77777777" w:rsidR="007F2645" w:rsidRDefault="007F2645" w:rsidP="00FF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3D92" w14:textId="0A45E5B0" w:rsidR="00D72A09" w:rsidRDefault="00D72A09">
    <w:pPr>
      <w:pStyle w:val="Footer"/>
      <w:jc w:val="center"/>
    </w:pPr>
  </w:p>
  <w:p w14:paraId="29B6C13C" w14:textId="77777777" w:rsidR="00D72A09" w:rsidRDefault="00D72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0175" w14:textId="7C072FAB" w:rsidR="00D72A09" w:rsidRDefault="00D72A09" w:rsidP="00F7003B">
    <w:pPr>
      <w:pStyle w:val="Footer"/>
      <w:jc w:val="center"/>
    </w:pPr>
    <w:r>
      <w:t xml:space="preserve">- </w:t>
    </w:r>
    <w:sdt>
      <w:sdtPr>
        <w:id w:val="1211614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1B5E">
          <w:rPr>
            <w:noProof/>
          </w:rPr>
          <w:t>i</w:t>
        </w:r>
        <w:r>
          <w:rPr>
            <w:noProof/>
          </w:rPr>
          <w:fldChar w:fldCharType="end"/>
        </w:r>
        <w:r>
          <w:rPr>
            <w:noProof/>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F686" w14:textId="77777777" w:rsidR="00D72A09" w:rsidRDefault="00D72A09" w:rsidP="001A29F1">
    <w:pPr>
      <w:pStyle w:val="Footer"/>
      <w:spacing w:before="120"/>
      <w:jc w:val="center"/>
    </w:pPr>
    <w:r>
      <w:t xml:space="preserve">- </w:t>
    </w:r>
    <w:sdt>
      <w:sdtPr>
        <w:id w:val="-7699347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1B5E">
          <w:rPr>
            <w:noProof/>
          </w:rPr>
          <w:t>7</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1C8D8" w14:textId="77777777" w:rsidR="007F2645" w:rsidRDefault="007F2645" w:rsidP="00FF59F8">
      <w:pPr>
        <w:spacing w:line="240" w:lineRule="auto"/>
      </w:pPr>
      <w:r>
        <w:separator/>
      </w:r>
    </w:p>
  </w:footnote>
  <w:footnote w:type="continuationSeparator" w:id="0">
    <w:p w14:paraId="5111A4E1" w14:textId="77777777" w:rsidR="007F2645" w:rsidRDefault="007F2645" w:rsidP="00FF59F8">
      <w:pPr>
        <w:spacing w:line="240" w:lineRule="auto"/>
      </w:pPr>
      <w:r>
        <w:continuationSeparator/>
      </w:r>
    </w:p>
  </w:footnote>
  <w:footnote w:id="1">
    <w:p w14:paraId="650F162F" w14:textId="26AAFA66" w:rsidR="00D72A09" w:rsidRPr="00E2200E" w:rsidRDefault="00D72A09" w:rsidP="004F3E54">
      <w:pPr>
        <w:pStyle w:val="FootnoteText"/>
        <w:ind w:left="180" w:hanging="180"/>
      </w:pPr>
      <w:r>
        <w:rPr>
          <w:rStyle w:val="FootnoteReference"/>
        </w:rPr>
        <w:footnoteRef/>
      </w:r>
      <w:r>
        <w:tab/>
        <w:t>“</w:t>
      </w:r>
      <w:r w:rsidRPr="00E2200E">
        <w:t xml:space="preserve">Modernizing the U.S. Equity Markets Post-Trade Infrastructure </w:t>
      </w:r>
      <w:r>
        <w:t>–</w:t>
      </w:r>
      <w:r w:rsidRPr="00E2200E">
        <w:t xml:space="preserve"> </w:t>
      </w:r>
      <w:r>
        <w:t xml:space="preserve">A White Paper to the Industry”, DTCC, </w:t>
      </w:r>
      <w:r w:rsidRPr="00E2200E">
        <w:t>January  2018.docx</w:t>
      </w:r>
      <w:r>
        <w:t xml:space="preserve">, </w:t>
      </w:r>
      <w:hyperlink r:id="rId1" w:history="1">
        <w:r w:rsidRPr="00DC2B00">
          <w:rPr>
            <w:rStyle w:val="Hyperlink"/>
          </w:rPr>
          <w:t>https://dtcclearning.com/documents/settlement-optimization/settlement-optimization-resources/documentation-1/2820-modernizing-the-u-s-equity-post-trade-infrastructure/file.html</w:t>
        </w:r>
      </w:hyperlink>
      <w:r>
        <w:t xml:space="preserve"> (a</w:t>
      </w:r>
      <w:r w:rsidRPr="00E2200E">
        <w:t>ccess</w:t>
      </w:r>
      <w:r>
        <w:t>ed February 10, 2019)</w:t>
      </w:r>
    </w:p>
  </w:footnote>
  <w:footnote w:id="2">
    <w:p w14:paraId="1695D565" w14:textId="159CCC8A" w:rsidR="00D72A09" w:rsidRDefault="00D72A09" w:rsidP="00C15078">
      <w:pPr>
        <w:pStyle w:val="FootnoteText"/>
        <w:ind w:left="180" w:hanging="180"/>
      </w:pPr>
      <w:r>
        <w:rPr>
          <w:rStyle w:val="FootnoteReference"/>
        </w:rPr>
        <w:footnoteRef/>
      </w:r>
      <w:r>
        <w:tab/>
        <w:t xml:space="preserve">When the Canadian and U.S. examined a move to T+1 settlement in the late 1990s, </w:t>
      </w:r>
      <w:r w:rsidRPr="00C47454">
        <w:rPr>
          <w:rFonts w:cs="Arial"/>
        </w:rPr>
        <w:t xml:space="preserve">40% of trades on Canadian stock exchanges were in </w:t>
      </w:r>
      <w:r>
        <w:rPr>
          <w:rFonts w:cs="Arial"/>
        </w:rPr>
        <w:t xml:space="preserve">securities </w:t>
      </w:r>
      <w:r w:rsidRPr="00C47454">
        <w:rPr>
          <w:rFonts w:cs="Arial"/>
        </w:rPr>
        <w:t>inter-listed on both Canadian and American exchanges and Canada-U.S. cross-border transactions made up nearly 25% of the millions of trades processed annually through CDS.</w:t>
      </w:r>
    </w:p>
  </w:footnote>
  <w:footnote w:id="3">
    <w:p w14:paraId="105D1811" w14:textId="44E3F69D" w:rsidR="00D72A09" w:rsidRDefault="00D72A09" w:rsidP="00B155C4">
      <w:pPr>
        <w:pStyle w:val="FootnoteText"/>
        <w:ind w:left="180" w:hanging="180"/>
      </w:pPr>
      <w:r>
        <w:rPr>
          <w:rStyle w:val="FootnoteReference"/>
        </w:rPr>
        <w:footnoteRef/>
      </w:r>
      <w:r>
        <w:tab/>
        <w:t xml:space="preserve">“Free-Riding, Under-investment and Competition: The Economic Case for Canada to Move to T+1”, Charles River Associates, November 10, 2000, </w:t>
      </w:r>
      <w:hyperlink r:id="rId2" w:history="1">
        <w:r w:rsidRPr="00954B37">
          <w:rPr>
            <w:rStyle w:val="Hyperlink"/>
          </w:rPr>
          <w:t>http://ccma-acmc.ca/en/wp-content/uploads/Charles-River-Report-Nov10.pdf</w:t>
        </w:r>
      </w:hyperlink>
      <w:r>
        <w:t xml:space="preserve"> (accessed February 15, 2019)</w:t>
      </w:r>
    </w:p>
  </w:footnote>
  <w:footnote w:id="4">
    <w:p w14:paraId="02AF58FF" w14:textId="688B27A0" w:rsidR="00D72A09" w:rsidRDefault="00D72A09" w:rsidP="00452EB2">
      <w:pPr>
        <w:pStyle w:val="ListParagraph"/>
        <w:widowControl w:val="0"/>
        <w:autoSpaceDE w:val="0"/>
        <w:autoSpaceDN w:val="0"/>
        <w:adjustRightInd w:val="0"/>
        <w:spacing w:line="240" w:lineRule="auto"/>
        <w:ind w:left="187" w:hanging="187"/>
      </w:pPr>
      <w:r w:rsidRPr="008E16DB">
        <w:rPr>
          <w:rStyle w:val="FootnoteReference"/>
          <w:sz w:val="20"/>
          <w:szCs w:val="20"/>
        </w:rPr>
        <w:footnoteRef/>
      </w:r>
      <w:r>
        <w:rPr>
          <w:sz w:val="20"/>
          <w:szCs w:val="20"/>
        </w:rPr>
        <w:tab/>
      </w:r>
      <w:r w:rsidRPr="008E16DB">
        <w:rPr>
          <w:rFonts w:cs="Arial"/>
          <w:bCs/>
          <w:sz w:val="20"/>
          <w:szCs w:val="20"/>
        </w:rPr>
        <w:t xml:space="preserve">SEC 17 CFR Part 240 [Release No. </w:t>
      </w:r>
      <w:hyperlink r:id="rId3" w:history="1">
        <w:r w:rsidRPr="008E16DB">
          <w:rPr>
            <w:rStyle w:val="Hyperlink"/>
            <w:rFonts w:cs="Arial"/>
            <w:bCs/>
            <w:sz w:val="20"/>
            <w:szCs w:val="20"/>
          </w:rPr>
          <w:t>34-80295</w:t>
        </w:r>
      </w:hyperlink>
      <w:r w:rsidRPr="008E16DB">
        <w:rPr>
          <w:rFonts w:cs="Arial"/>
          <w:bCs/>
          <w:sz w:val="20"/>
          <w:szCs w:val="20"/>
        </w:rPr>
        <w:t>; File No. S7-22-16] RIN 3235-AL86 – Amendment to Securities Transaction Settlement Cycle</w:t>
      </w:r>
      <w:r>
        <w:rPr>
          <w:rFonts w:cs="Arial"/>
          <w:bCs/>
          <w:sz w:val="20"/>
          <w:szCs w:val="20"/>
        </w:rPr>
        <w:t>,</w:t>
      </w:r>
      <w:r w:rsidRPr="008E16DB">
        <w:rPr>
          <w:rFonts w:cs="Arial"/>
          <w:bCs/>
          <w:sz w:val="20"/>
          <w:szCs w:val="20"/>
        </w:rPr>
        <w:t xml:space="preserve"> required a report </w:t>
      </w:r>
      <w:r>
        <w:rPr>
          <w:rFonts w:cs="Arial"/>
          <w:bCs/>
          <w:sz w:val="20"/>
          <w:szCs w:val="20"/>
        </w:rPr>
        <w:t xml:space="preserve">on the </w:t>
      </w:r>
      <w:r w:rsidRPr="00401872">
        <w:rPr>
          <w:rFonts w:cs="Arial"/>
          <w:bCs/>
          <w:sz w:val="20"/>
          <w:szCs w:val="20"/>
        </w:rPr>
        <w:t>impact</w:t>
      </w:r>
      <w:r>
        <w:rPr>
          <w:rFonts w:cs="Arial"/>
          <w:bCs/>
          <w:sz w:val="20"/>
          <w:szCs w:val="20"/>
        </w:rPr>
        <w:t>s</w:t>
      </w:r>
      <w:r w:rsidRPr="00401872">
        <w:rPr>
          <w:rFonts w:cs="Arial"/>
          <w:bCs/>
          <w:sz w:val="20"/>
          <w:szCs w:val="20"/>
        </w:rPr>
        <w:t xml:space="preserve"> of the move to T+2, potential impacts of a move to a shorter settlement cycle, technology and operational improvements that could facilitate </w:t>
      </w:r>
      <w:r>
        <w:rPr>
          <w:rFonts w:cs="Arial"/>
          <w:bCs/>
          <w:sz w:val="20"/>
          <w:szCs w:val="20"/>
        </w:rPr>
        <w:t xml:space="preserve">such </w:t>
      </w:r>
      <w:r w:rsidRPr="00401872">
        <w:rPr>
          <w:rFonts w:cs="Arial"/>
          <w:bCs/>
          <w:sz w:val="20"/>
          <w:szCs w:val="20"/>
        </w:rPr>
        <w:t>a move, and related cross-market (including international) impacts</w:t>
      </w:r>
      <w:r>
        <w:rPr>
          <w:rFonts w:cs="Arial"/>
          <w:bCs/>
          <w:sz w:val="20"/>
          <w:szCs w:val="20"/>
        </w:rPr>
        <w:t xml:space="preserve"> </w:t>
      </w:r>
      <w:r w:rsidRPr="008E16DB">
        <w:rPr>
          <w:rFonts w:cs="Arial"/>
          <w:bCs/>
          <w:sz w:val="20"/>
          <w:szCs w:val="20"/>
        </w:rPr>
        <w:t xml:space="preserve">within three years from </w:t>
      </w:r>
      <w:r>
        <w:rPr>
          <w:rFonts w:cs="Arial"/>
          <w:bCs/>
          <w:sz w:val="20"/>
          <w:szCs w:val="20"/>
        </w:rPr>
        <w:t>September 5</w:t>
      </w:r>
      <w:r w:rsidRPr="008E16DB">
        <w:rPr>
          <w:rFonts w:cs="Arial"/>
          <w:bCs/>
          <w:sz w:val="20"/>
          <w:szCs w:val="20"/>
        </w:rPr>
        <w:t>, 2017</w:t>
      </w:r>
      <w:r>
        <w:rPr>
          <w:rFonts w:cs="Arial"/>
          <w:bCs/>
          <w:sz w:val="20"/>
          <w:szCs w:val="20"/>
        </w:rPr>
        <w:t>.</w:t>
      </w:r>
    </w:p>
  </w:footnote>
  <w:footnote w:id="5">
    <w:p w14:paraId="08CD2B1A" w14:textId="6C21A02B" w:rsidR="00D72A09" w:rsidRPr="001E2250" w:rsidRDefault="00D72A09" w:rsidP="00452EB2">
      <w:pPr>
        <w:pStyle w:val="BodyText"/>
        <w:ind w:left="180" w:hanging="180"/>
        <w:rPr>
          <w:rFonts w:ascii="Arial" w:hAnsi="Arial" w:cs="Arial"/>
        </w:rPr>
      </w:pPr>
      <w:r w:rsidRPr="001E2250">
        <w:rPr>
          <w:rStyle w:val="FootnoteReference"/>
          <w:rFonts w:ascii="Arial" w:hAnsi="Arial" w:cs="Arial"/>
        </w:rPr>
        <w:footnoteRef/>
      </w:r>
      <w:r w:rsidRPr="001E2250">
        <w:rPr>
          <w:rFonts w:ascii="Arial" w:hAnsi="Arial" w:cs="Arial"/>
        </w:rPr>
        <w:tab/>
      </w:r>
      <w:r>
        <w:rPr>
          <w:rFonts w:ascii="Arial" w:hAnsi="Arial" w:cs="Arial"/>
          <w:spacing w:val="-4"/>
        </w:rPr>
        <w:t>The goal</w:t>
      </w:r>
      <w:r w:rsidRPr="00B220B8">
        <w:rPr>
          <w:rFonts w:ascii="Arial" w:hAnsi="Arial" w:cs="Arial"/>
        </w:rPr>
        <w:t xml:space="preserve"> of Accelerated Time to Settlement was to extend </w:t>
      </w:r>
      <w:r w:rsidRPr="001E2250">
        <w:rPr>
          <w:rFonts w:ascii="Arial" w:hAnsi="Arial" w:cs="Arial"/>
          <w:spacing w:val="-4"/>
        </w:rPr>
        <w:t xml:space="preserve">the benefits of NSCC T+0/T+1 settlement to more transactions, without losing </w:t>
      </w:r>
      <w:r w:rsidRPr="001E2250">
        <w:rPr>
          <w:rFonts w:ascii="Arial" w:hAnsi="Arial" w:cs="Arial"/>
        </w:rPr>
        <w:t xml:space="preserve">the major benefits of either centralized netting and risk management/capital or operational efficiency.  The white paper notes that a move to real-time gross settlement could have major implications on market liquidity and operations, requiring significant capital and securities on hand to make trade-for-trade deliveries.  Pre-funding all trades without recognizing offsetting ones would substantially increase trade execution costs for end users, as well as operational and financial risks. </w:t>
      </w:r>
      <w:r>
        <w:rPr>
          <w:rFonts w:ascii="Arial" w:hAnsi="Arial" w:cs="Arial"/>
        </w:rPr>
        <w:t xml:space="preserve"> A July 31, 2018 DTCC article </w:t>
      </w:r>
      <w:r w:rsidRPr="00561492">
        <w:rPr>
          <w:rFonts w:ascii="Arial" w:hAnsi="Arial" w:cs="Arial"/>
        </w:rPr>
        <w:t>refers to discussions with several trading venues that would send matched T+1 trades to the clearinghouse.</w:t>
      </w:r>
    </w:p>
  </w:footnote>
  <w:footnote w:id="6">
    <w:p w14:paraId="0B5CFBFF" w14:textId="610A7B58" w:rsidR="00D72A09" w:rsidRPr="007C0267" w:rsidRDefault="00D72A09" w:rsidP="007C0267">
      <w:pPr>
        <w:ind w:left="180" w:hanging="180"/>
        <w:rPr>
          <w:sz w:val="20"/>
          <w:szCs w:val="20"/>
        </w:rPr>
      </w:pPr>
      <w:r w:rsidRPr="007C0267">
        <w:rPr>
          <w:rStyle w:val="FootnoteReference"/>
          <w:sz w:val="20"/>
          <w:szCs w:val="20"/>
        </w:rPr>
        <w:footnoteRef/>
      </w:r>
      <w:r>
        <w:rPr>
          <w:sz w:val="20"/>
          <w:szCs w:val="20"/>
        </w:rPr>
        <w:tab/>
      </w:r>
      <w:r w:rsidRPr="007C0267">
        <w:rPr>
          <w:sz w:val="20"/>
          <w:szCs w:val="20"/>
        </w:rPr>
        <w:t xml:space="preserve">“Post-trade in a Capital Market Union:  dismantling barriers and strategy for the future 2017 Public Consultation: Summary of contributions”; </w:t>
      </w:r>
      <w:r>
        <w:rPr>
          <w:sz w:val="20"/>
          <w:szCs w:val="20"/>
        </w:rPr>
        <w:t>October 2018,</w:t>
      </w:r>
      <w:r w:rsidRPr="007C0267">
        <w:rPr>
          <w:sz w:val="20"/>
          <w:szCs w:val="20"/>
        </w:rPr>
        <w:t xml:space="preserve"> </w:t>
      </w:r>
      <w:hyperlink r:id="rId4" w:history="1">
        <w:r w:rsidRPr="007C0267">
          <w:rPr>
            <w:rStyle w:val="Hyperlink"/>
            <w:sz w:val="20"/>
            <w:szCs w:val="20"/>
          </w:rPr>
          <w:t>https://ec.europa.eu/info/sites/info/files/2017-post-trade-feedback-statement_en.pdf</w:t>
        </w:r>
      </w:hyperlink>
      <w:r w:rsidRPr="007C0267">
        <w:rPr>
          <w:sz w:val="20"/>
          <w:szCs w:val="20"/>
        </w:rPr>
        <w:t xml:space="preserve"> (accessed February 15,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7499" w14:textId="421163D9" w:rsidR="00D72A09" w:rsidRPr="00FF59F8" w:rsidRDefault="00D72A09" w:rsidP="00FF59F8">
    <w:pPr>
      <w:pStyle w:val="Header"/>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D337" w14:textId="51F24D6F" w:rsidR="00D72A09" w:rsidRPr="00FF59F8" w:rsidRDefault="00D72A09" w:rsidP="00D052A4">
    <w:pPr>
      <w:pStyle w:val="Header"/>
      <w:tabs>
        <w:tab w:val="clear" w:pos="4680"/>
        <w:tab w:val="center" w:pos="6840"/>
      </w:tabs>
      <w:jc w:val="center"/>
      <w:rPr>
        <w:sz w:val="32"/>
        <w:szCs w:val="32"/>
      </w:rPr>
    </w:pPr>
    <w:r w:rsidRPr="00FF59F8">
      <w:rPr>
        <w:noProof/>
      </w:rPr>
      <w:drawing>
        <wp:anchor distT="0" distB="0" distL="114300" distR="114300" simplePos="0" relativeHeight="251658240" behindDoc="1" locked="0" layoutInCell="1" allowOverlap="1" wp14:anchorId="3ED0F8F1" wp14:editId="150D132D">
          <wp:simplePos x="0" y="0"/>
          <wp:positionH relativeFrom="margin">
            <wp:posOffset>0</wp:posOffset>
          </wp:positionH>
          <wp:positionV relativeFrom="paragraph">
            <wp:posOffset>-137160</wp:posOffset>
          </wp:positionV>
          <wp:extent cx="3022934" cy="510540"/>
          <wp:effectExtent l="0" t="0" r="6350" b="3810"/>
          <wp:wrapTight wrapText="bothSides">
            <wp:wrapPolygon edited="0">
              <wp:start x="0" y="0"/>
              <wp:lineTo x="0" y="20955"/>
              <wp:lineTo x="21509" y="20955"/>
              <wp:lineTo x="21509" y="0"/>
              <wp:lineTo x="0" y="0"/>
            </wp:wrapPolygon>
          </wp:wrapTight>
          <wp:docPr id="18" name="Picture 18" descr="C:\CCMA18\1 - C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18\1 - CCM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934" cy="510540"/>
                  </a:xfrm>
                  <a:prstGeom prst="rect">
                    <a:avLst/>
                  </a:prstGeom>
                  <a:noFill/>
                  <a:ln>
                    <a:noFill/>
                  </a:ln>
                </pic:spPr>
              </pic:pic>
            </a:graphicData>
          </a:graphic>
        </wp:anchor>
      </w:drawing>
    </w: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32E"/>
    <w:multiLevelType w:val="hybridMultilevel"/>
    <w:tmpl w:val="0F4C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27"/>
    <w:multiLevelType w:val="hybridMultilevel"/>
    <w:tmpl w:val="733093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C0977CD"/>
    <w:multiLevelType w:val="hybridMultilevel"/>
    <w:tmpl w:val="42E00F64"/>
    <w:lvl w:ilvl="0" w:tplc="B82E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12B6"/>
    <w:multiLevelType w:val="hybridMultilevel"/>
    <w:tmpl w:val="5608D344"/>
    <w:lvl w:ilvl="0" w:tplc="4D24E4B2">
      <w:start w:val="1"/>
      <w:numFmt w:val="decimal"/>
      <w:lvlText w:val="%1."/>
      <w:lvlJc w:val="left"/>
      <w:pPr>
        <w:ind w:left="360" w:hanging="360"/>
      </w:pPr>
      <w:rPr>
        <w:rFonts w:ascii="Arial Bold" w:hAnsi="Arial Bold" w:hint="default"/>
        <w:b/>
        <w:i w:val="0"/>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C07"/>
    <w:multiLevelType w:val="hybridMultilevel"/>
    <w:tmpl w:val="86F4DB2A"/>
    <w:lvl w:ilvl="0" w:tplc="2EFCE618">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E545C"/>
    <w:multiLevelType w:val="hybridMultilevel"/>
    <w:tmpl w:val="B89CE63C"/>
    <w:lvl w:ilvl="0" w:tplc="0409000F">
      <w:start w:val="1"/>
      <w:numFmt w:val="decimal"/>
      <w:lvlText w:val="%1."/>
      <w:lvlJc w:val="left"/>
      <w:pPr>
        <w:ind w:left="360" w:hanging="360"/>
      </w:pPr>
      <w:rPr>
        <w:rFonts w:hint="default"/>
      </w:rPr>
    </w:lvl>
    <w:lvl w:ilvl="1" w:tplc="10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11C6E"/>
    <w:multiLevelType w:val="hybridMultilevel"/>
    <w:tmpl w:val="CFC68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A6CC4"/>
    <w:multiLevelType w:val="hybridMultilevel"/>
    <w:tmpl w:val="50A662BE"/>
    <w:lvl w:ilvl="0" w:tplc="559A6666">
      <w:start w:val="1"/>
      <w:numFmt w:val="decimal"/>
      <w:lvlText w:val="%1."/>
      <w:lvlJc w:val="left"/>
      <w:pPr>
        <w:ind w:left="720" w:hanging="360"/>
      </w:pPr>
      <w:rPr>
        <w:rFonts w:ascii="Arial Bold" w:hAnsi="Arial Bold" w:cs="Arial" w:hint="default"/>
        <w:b/>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67B90"/>
    <w:multiLevelType w:val="hybridMultilevel"/>
    <w:tmpl w:val="667AE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94D585D"/>
    <w:multiLevelType w:val="hybridMultilevel"/>
    <w:tmpl w:val="509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26657"/>
    <w:multiLevelType w:val="hybridMultilevel"/>
    <w:tmpl w:val="AAA040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1514EAE"/>
    <w:multiLevelType w:val="hybridMultilevel"/>
    <w:tmpl w:val="D198512C"/>
    <w:lvl w:ilvl="0" w:tplc="74AED404">
      <w:start w:val="1"/>
      <w:numFmt w:val="lowerRoman"/>
      <w:pStyle w:val="Heading2"/>
      <w:lvlText w:val="%1."/>
      <w:lvlJc w:val="left"/>
      <w:pPr>
        <w:ind w:left="720" w:hanging="360"/>
      </w:pPr>
      <w:rPr>
        <w:rFonts w:ascii="Arial Bold" w:hAnsi="Arial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14782"/>
    <w:multiLevelType w:val="hybridMultilevel"/>
    <w:tmpl w:val="1BD06C18"/>
    <w:lvl w:ilvl="0" w:tplc="2EFCE618">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404CD"/>
    <w:multiLevelType w:val="hybridMultilevel"/>
    <w:tmpl w:val="BA2C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A399A"/>
    <w:multiLevelType w:val="hybridMultilevel"/>
    <w:tmpl w:val="33F23462"/>
    <w:lvl w:ilvl="0" w:tplc="E37C8DFE">
      <w:start w:val="1"/>
      <w:numFmt w:val="decimal"/>
      <w:pStyle w:val="TOC1"/>
      <w:lvlText w:val="%1."/>
      <w:lvlJc w:val="left"/>
      <w:pPr>
        <w:ind w:left="720" w:hanging="360"/>
      </w:pPr>
      <w:rPr>
        <w:rFonts w:ascii="Arial Bold" w:hAnsi="Arial Bold" w:cs="Arial" w:hint="default"/>
        <w:b/>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10EF3"/>
    <w:multiLevelType w:val="hybridMultilevel"/>
    <w:tmpl w:val="FB72F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341041"/>
    <w:multiLevelType w:val="hybridMultilevel"/>
    <w:tmpl w:val="688C5FAE"/>
    <w:lvl w:ilvl="0" w:tplc="2414664A">
      <w:start w:val="21"/>
      <w:numFmt w:val="upperLetter"/>
      <w:lvlText w:val="%1"/>
      <w:lvlJc w:val="left"/>
      <w:pPr>
        <w:ind w:left="999" w:hanging="598"/>
      </w:pPr>
      <w:rPr>
        <w:rFonts w:hint="default"/>
        <w:lang w:val="en-US" w:eastAsia="en-US" w:bidi="en-US"/>
      </w:rPr>
    </w:lvl>
    <w:lvl w:ilvl="1" w:tplc="C4E89F2E">
      <w:numFmt w:val="bullet"/>
      <w:lvlText w:val="•"/>
      <w:lvlJc w:val="left"/>
      <w:pPr>
        <w:ind w:left="1350" w:hanging="270"/>
      </w:pPr>
      <w:rPr>
        <w:rFonts w:ascii="Trebuchet MS" w:eastAsia="Trebuchet MS" w:hAnsi="Trebuchet MS" w:cs="Trebuchet MS" w:hint="default"/>
        <w:b/>
        <w:bCs/>
        <w:w w:val="95"/>
        <w:sz w:val="20"/>
        <w:szCs w:val="20"/>
        <w:lang w:val="en-US" w:eastAsia="en-US" w:bidi="en-US"/>
      </w:rPr>
    </w:lvl>
    <w:lvl w:ilvl="2" w:tplc="2CE6D2F4">
      <w:numFmt w:val="bullet"/>
      <w:lvlText w:val="•"/>
      <w:lvlJc w:val="left"/>
      <w:pPr>
        <w:ind w:left="2568" w:hanging="270"/>
      </w:pPr>
      <w:rPr>
        <w:rFonts w:hint="default"/>
        <w:lang w:val="en-US" w:eastAsia="en-US" w:bidi="en-US"/>
      </w:rPr>
    </w:lvl>
    <w:lvl w:ilvl="3" w:tplc="6B82F6B8">
      <w:numFmt w:val="bullet"/>
      <w:lvlText w:val="•"/>
      <w:lvlJc w:val="left"/>
      <w:pPr>
        <w:ind w:left="3777" w:hanging="270"/>
      </w:pPr>
      <w:rPr>
        <w:rFonts w:hint="default"/>
        <w:lang w:val="en-US" w:eastAsia="en-US" w:bidi="en-US"/>
      </w:rPr>
    </w:lvl>
    <w:lvl w:ilvl="4" w:tplc="82B00BD6">
      <w:numFmt w:val="bullet"/>
      <w:lvlText w:val="•"/>
      <w:lvlJc w:val="left"/>
      <w:pPr>
        <w:ind w:left="4986" w:hanging="270"/>
      </w:pPr>
      <w:rPr>
        <w:rFonts w:hint="default"/>
        <w:lang w:val="en-US" w:eastAsia="en-US" w:bidi="en-US"/>
      </w:rPr>
    </w:lvl>
    <w:lvl w:ilvl="5" w:tplc="52BC4580">
      <w:numFmt w:val="bullet"/>
      <w:lvlText w:val="•"/>
      <w:lvlJc w:val="left"/>
      <w:pPr>
        <w:ind w:left="6195" w:hanging="270"/>
      </w:pPr>
      <w:rPr>
        <w:rFonts w:hint="default"/>
        <w:lang w:val="en-US" w:eastAsia="en-US" w:bidi="en-US"/>
      </w:rPr>
    </w:lvl>
    <w:lvl w:ilvl="6" w:tplc="98C2B632">
      <w:numFmt w:val="bullet"/>
      <w:lvlText w:val="•"/>
      <w:lvlJc w:val="left"/>
      <w:pPr>
        <w:ind w:left="7404" w:hanging="270"/>
      </w:pPr>
      <w:rPr>
        <w:rFonts w:hint="default"/>
        <w:lang w:val="en-US" w:eastAsia="en-US" w:bidi="en-US"/>
      </w:rPr>
    </w:lvl>
    <w:lvl w:ilvl="7" w:tplc="49629EAA">
      <w:numFmt w:val="bullet"/>
      <w:lvlText w:val="•"/>
      <w:lvlJc w:val="left"/>
      <w:pPr>
        <w:ind w:left="8613" w:hanging="270"/>
      </w:pPr>
      <w:rPr>
        <w:rFonts w:hint="default"/>
        <w:lang w:val="en-US" w:eastAsia="en-US" w:bidi="en-US"/>
      </w:rPr>
    </w:lvl>
    <w:lvl w:ilvl="8" w:tplc="67D026C2">
      <w:numFmt w:val="bullet"/>
      <w:lvlText w:val="•"/>
      <w:lvlJc w:val="left"/>
      <w:pPr>
        <w:ind w:left="9822" w:hanging="270"/>
      </w:pPr>
      <w:rPr>
        <w:rFonts w:hint="default"/>
        <w:lang w:val="en-US" w:eastAsia="en-US" w:bidi="en-US"/>
      </w:rPr>
    </w:lvl>
  </w:abstractNum>
  <w:num w:numId="1">
    <w:abstractNumId w:val="11"/>
  </w:num>
  <w:num w:numId="2">
    <w:abstractNumId w:val="11"/>
    <w:lvlOverride w:ilvl="0">
      <w:startOverride w:val="1"/>
    </w:lvlOverride>
  </w:num>
  <w:num w:numId="3">
    <w:abstractNumId w:val="7"/>
  </w:num>
  <w:num w:numId="4">
    <w:abstractNumId w:val="3"/>
    <w:lvlOverride w:ilvl="0">
      <w:startOverride w:val="1"/>
    </w:lvlOverride>
  </w:num>
  <w:num w:numId="5">
    <w:abstractNumId w:val="13"/>
  </w:num>
  <w:num w:numId="6">
    <w:abstractNumId w:val="6"/>
  </w:num>
  <w:num w:numId="7">
    <w:abstractNumId w:val="0"/>
  </w:num>
  <w:num w:numId="8">
    <w:abstractNumId w:val="16"/>
  </w:num>
  <w:num w:numId="9">
    <w:abstractNumId w:val="9"/>
  </w:num>
  <w:num w:numId="10">
    <w:abstractNumId w:val="8"/>
  </w:num>
  <w:num w:numId="11">
    <w:abstractNumId w:val="5"/>
  </w:num>
  <w:num w:numId="12">
    <w:abstractNumId w:val="15"/>
  </w:num>
  <w:num w:numId="13">
    <w:abstractNumId w:val="3"/>
  </w:num>
  <w:num w:numId="14">
    <w:abstractNumId w:val="12"/>
  </w:num>
  <w:num w:numId="15">
    <w:abstractNumId w:val="4"/>
  </w:num>
  <w:num w:numId="16">
    <w:abstractNumId w:val="10"/>
  </w:num>
  <w:num w:numId="17">
    <w:abstractNumId w:val="1"/>
  </w:num>
  <w:num w:numId="18">
    <w:abstractNumId w:val="7"/>
    <w:lvlOverride w:ilvl="0">
      <w:startOverride w:val="1"/>
    </w:lvlOverride>
  </w:num>
  <w:num w:numId="19">
    <w:abstractNumId w:val="14"/>
  </w:num>
  <w:num w:numId="20">
    <w:abstractNumId w:val="14"/>
    <w:lvlOverride w:ilvl="0">
      <w:startOverride w:val="1"/>
    </w:lvlOverride>
  </w:num>
  <w:num w:numId="21">
    <w:abstractNumId w:val="14"/>
  </w:num>
  <w:num w:numId="22">
    <w:abstractNumId w:val="14"/>
  </w:num>
  <w:num w:numId="23">
    <w:abstractNumId w:val="14"/>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88"/>
    <w:rsid w:val="00010D88"/>
    <w:rsid w:val="00020CCF"/>
    <w:rsid w:val="000242F3"/>
    <w:rsid w:val="00025004"/>
    <w:rsid w:val="000253E5"/>
    <w:rsid w:val="00027BE7"/>
    <w:rsid w:val="000344BA"/>
    <w:rsid w:val="00035F9E"/>
    <w:rsid w:val="00037A95"/>
    <w:rsid w:val="0004445F"/>
    <w:rsid w:val="00047A32"/>
    <w:rsid w:val="00047FF5"/>
    <w:rsid w:val="00051F55"/>
    <w:rsid w:val="000528D5"/>
    <w:rsid w:val="00063763"/>
    <w:rsid w:val="00063946"/>
    <w:rsid w:val="00067640"/>
    <w:rsid w:val="00067F76"/>
    <w:rsid w:val="000741EA"/>
    <w:rsid w:val="000752DC"/>
    <w:rsid w:val="000759CB"/>
    <w:rsid w:val="000769C1"/>
    <w:rsid w:val="00077736"/>
    <w:rsid w:val="00077CC4"/>
    <w:rsid w:val="00081F0B"/>
    <w:rsid w:val="0008569A"/>
    <w:rsid w:val="000857F6"/>
    <w:rsid w:val="0008622A"/>
    <w:rsid w:val="000940B2"/>
    <w:rsid w:val="00095943"/>
    <w:rsid w:val="00095B1C"/>
    <w:rsid w:val="00096582"/>
    <w:rsid w:val="000A03C6"/>
    <w:rsid w:val="000A2B02"/>
    <w:rsid w:val="000A7057"/>
    <w:rsid w:val="000B460A"/>
    <w:rsid w:val="000B6FDD"/>
    <w:rsid w:val="000C12C7"/>
    <w:rsid w:val="000D2C8B"/>
    <w:rsid w:val="000D3C20"/>
    <w:rsid w:val="000D4E53"/>
    <w:rsid w:val="000E577A"/>
    <w:rsid w:val="000E5CB9"/>
    <w:rsid w:val="000F1392"/>
    <w:rsid w:val="000F2492"/>
    <w:rsid w:val="000F701C"/>
    <w:rsid w:val="001019F0"/>
    <w:rsid w:val="00102217"/>
    <w:rsid w:val="00113CD8"/>
    <w:rsid w:val="00113D25"/>
    <w:rsid w:val="00120A9E"/>
    <w:rsid w:val="00126C36"/>
    <w:rsid w:val="001328E0"/>
    <w:rsid w:val="00135F11"/>
    <w:rsid w:val="00137250"/>
    <w:rsid w:val="00144B36"/>
    <w:rsid w:val="00146437"/>
    <w:rsid w:val="00151BF5"/>
    <w:rsid w:val="00152C85"/>
    <w:rsid w:val="00163576"/>
    <w:rsid w:val="00171E98"/>
    <w:rsid w:val="00174829"/>
    <w:rsid w:val="0017771C"/>
    <w:rsid w:val="00182122"/>
    <w:rsid w:val="0018460E"/>
    <w:rsid w:val="00185D6B"/>
    <w:rsid w:val="00193336"/>
    <w:rsid w:val="00197E31"/>
    <w:rsid w:val="001A29F1"/>
    <w:rsid w:val="001A5BE3"/>
    <w:rsid w:val="001C3DE2"/>
    <w:rsid w:val="001C4F8E"/>
    <w:rsid w:val="001C4F9F"/>
    <w:rsid w:val="001C50D2"/>
    <w:rsid w:val="001C6504"/>
    <w:rsid w:val="001C72D7"/>
    <w:rsid w:val="001D0D4B"/>
    <w:rsid w:val="001E1887"/>
    <w:rsid w:val="001E340E"/>
    <w:rsid w:val="001E7873"/>
    <w:rsid w:val="001F0B20"/>
    <w:rsid w:val="001F0F38"/>
    <w:rsid w:val="002037E4"/>
    <w:rsid w:val="002061D3"/>
    <w:rsid w:val="002115AE"/>
    <w:rsid w:val="0021376F"/>
    <w:rsid w:val="00216B63"/>
    <w:rsid w:val="00216C3D"/>
    <w:rsid w:val="0023716A"/>
    <w:rsid w:val="002431C1"/>
    <w:rsid w:val="002459BE"/>
    <w:rsid w:val="0025026A"/>
    <w:rsid w:val="00250B85"/>
    <w:rsid w:val="00261CBE"/>
    <w:rsid w:val="00262673"/>
    <w:rsid w:val="00264417"/>
    <w:rsid w:val="00273FBF"/>
    <w:rsid w:val="002763D4"/>
    <w:rsid w:val="00277243"/>
    <w:rsid w:val="0029189F"/>
    <w:rsid w:val="0029231E"/>
    <w:rsid w:val="00292C42"/>
    <w:rsid w:val="00294255"/>
    <w:rsid w:val="0029545E"/>
    <w:rsid w:val="002966CD"/>
    <w:rsid w:val="002A0C96"/>
    <w:rsid w:val="002A6E47"/>
    <w:rsid w:val="002B4B6D"/>
    <w:rsid w:val="002B53C3"/>
    <w:rsid w:val="002C1CB1"/>
    <w:rsid w:val="002D1AAA"/>
    <w:rsid w:val="002D1D77"/>
    <w:rsid w:val="002E1AA6"/>
    <w:rsid w:val="002E1C36"/>
    <w:rsid w:val="002F69CC"/>
    <w:rsid w:val="00301BFE"/>
    <w:rsid w:val="00321222"/>
    <w:rsid w:val="003308AC"/>
    <w:rsid w:val="00331E16"/>
    <w:rsid w:val="003338C0"/>
    <w:rsid w:val="00333901"/>
    <w:rsid w:val="00334E15"/>
    <w:rsid w:val="00341531"/>
    <w:rsid w:val="00342F08"/>
    <w:rsid w:val="0034389C"/>
    <w:rsid w:val="00353751"/>
    <w:rsid w:val="00360EAB"/>
    <w:rsid w:val="003624E6"/>
    <w:rsid w:val="003629BE"/>
    <w:rsid w:val="00365E15"/>
    <w:rsid w:val="00366CA1"/>
    <w:rsid w:val="00367EEC"/>
    <w:rsid w:val="00371CDC"/>
    <w:rsid w:val="00373B5E"/>
    <w:rsid w:val="00375E60"/>
    <w:rsid w:val="00380449"/>
    <w:rsid w:val="0038224A"/>
    <w:rsid w:val="00384FDF"/>
    <w:rsid w:val="003861B9"/>
    <w:rsid w:val="0039663A"/>
    <w:rsid w:val="00396CF8"/>
    <w:rsid w:val="003B2230"/>
    <w:rsid w:val="003B3A3D"/>
    <w:rsid w:val="003C5FCD"/>
    <w:rsid w:val="003C6763"/>
    <w:rsid w:val="003D0245"/>
    <w:rsid w:val="003D5FF0"/>
    <w:rsid w:val="003E2014"/>
    <w:rsid w:val="003E6D42"/>
    <w:rsid w:val="003F0CF6"/>
    <w:rsid w:val="003F4E7D"/>
    <w:rsid w:val="003F6714"/>
    <w:rsid w:val="00401450"/>
    <w:rsid w:val="00401872"/>
    <w:rsid w:val="004058C1"/>
    <w:rsid w:val="00405E78"/>
    <w:rsid w:val="0040782E"/>
    <w:rsid w:val="00407B98"/>
    <w:rsid w:val="00410C3B"/>
    <w:rsid w:val="00411357"/>
    <w:rsid w:val="00411E65"/>
    <w:rsid w:val="00412C9F"/>
    <w:rsid w:val="00417669"/>
    <w:rsid w:val="00420059"/>
    <w:rsid w:val="00421788"/>
    <w:rsid w:val="00427A65"/>
    <w:rsid w:val="004321D8"/>
    <w:rsid w:val="00434823"/>
    <w:rsid w:val="00452EB2"/>
    <w:rsid w:val="00453079"/>
    <w:rsid w:val="004570DF"/>
    <w:rsid w:val="004864CB"/>
    <w:rsid w:val="00487CCB"/>
    <w:rsid w:val="00491A88"/>
    <w:rsid w:val="00497024"/>
    <w:rsid w:val="004A4BA7"/>
    <w:rsid w:val="004B31BA"/>
    <w:rsid w:val="004B73C7"/>
    <w:rsid w:val="004C0638"/>
    <w:rsid w:val="004C1615"/>
    <w:rsid w:val="004C256F"/>
    <w:rsid w:val="004C2B14"/>
    <w:rsid w:val="004C3C4A"/>
    <w:rsid w:val="004C4313"/>
    <w:rsid w:val="004C446C"/>
    <w:rsid w:val="004C6AB2"/>
    <w:rsid w:val="004E70BE"/>
    <w:rsid w:val="004F073D"/>
    <w:rsid w:val="004F3E54"/>
    <w:rsid w:val="004F5172"/>
    <w:rsid w:val="0050201D"/>
    <w:rsid w:val="005037A1"/>
    <w:rsid w:val="00503A2C"/>
    <w:rsid w:val="00504B6E"/>
    <w:rsid w:val="00516410"/>
    <w:rsid w:val="005230BD"/>
    <w:rsid w:val="005238E9"/>
    <w:rsid w:val="00524A06"/>
    <w:rsid w:val="005271B8"/>
    <w:rsid w:val="00527D5F"/>
    <w:rsid w:val="0053090E"/>
    <w:rsid w:val="0053184F"/>
    <w:rsid w:val="0053575D"/>
    <w:rsid w:val="00536C91"/>
    <w:rsid w:val="00544D5D"/>
    <w:rsid w:val="005460BC"/>
    <w:rsid w:val="005471B5"/>
    <w:rsid w:val="005577CE"/>
    <w:rsid w:val="00561492"/>
    <w:rsid w:val="00577F05"/>
    <w:rsid w:val="005831CC"/>
    <w:rsid w:val="0058504A"/>
    <w:rsid w:val="005904FC"/>
    <w:rsid w:val="00596871"/>
    <w:rsid w:val="00597F3F"/>
    <w:rsid w:val="00597F44"/>
    <w:rsid w:val="005A2556"/>
    <w:rsid w:val="005C08FB"/>
    <w:rsid w:val="005C1DF2"/>
    <w:rsid w:val="005C36AB"/>
    <w:rsid w:val="005C371F"/>
    <w:rsid w:val="005C3DBF"/>
    <w:rsid w:val="005C5DB7"/>
    <w:rsid w:val="005E279F"/>
    <w:rsid w:val="005E2F0A"/>
    <w:rsid w:val="005F0018"/>
    <w:rsid w:val="005F1631"/>
    <w:rsid w:val="005F22EB"/>
    <w:rsid w:val="005F478D"/>
    <w:rsid w:val="005F61F1"/>
    <w:rsid w:val="005F7AD3"/>
    <w:rsid w:val="00600693"/>
    <w:rsid w:val="00604D90"/>
    <w:rsid w:val="0060557B"/>
    <w:rsid w:val="006079EF"/>
    <w:rsid w:val="00615CAC"/>
    <w:rsid w:val="00621B01"/>
    <w:rsid w:val="00623B38"/>
    <w:rsid w:val="0062610A"/>
    <w:rsid w:val="006303A2"/>
    <w:rsid w:val="006303CA"/>
    <w:rsid w:val="006342E0"/>
    <w:rsid w:val="00635FF8"/>
    <w:rsid w:val="00641A81"/>
    <w:rsid w:val="006429B6"/>
    <w:rsid w:val="006436D4"/>
    <w:rsid w:val="00646C66"/>
    <w:rsid w:val="00654F53"/>
    <w:rsid w:val="0065743F"/>
    <w:rsid w:val="00660C89"/>
    <w:rsid w:val="00661BE6"/>
    <w:rsid w:val="006664E3"/>
    <w:rsid w:val="006666AE"/>
    <w:rsid w:val="00666A68"/>
    <w:rsid w:val="00670E1B"/>
    <w:rsid w:val="00674298"/>
    <w:rsid w:val="006763F9"/>
    <w:rsid w:val="006764C0"/>
    <w:rsid w:val="00676F47"/>
    <w:rsid w:val="00680366"/>
    <w:rsid w:val="00682EB9"/>
    <w:rsid w:val="00685A27"/>
    <w:rsid w:val="00687923"/>
    <w:rsid w:val="006A0107"/>
    <w:rsid w:val="006A7BBA"/>
    <w:rsid w:val="006B19AD"/>
    <w:rsid w:val="006B37C2"/>
    <w:rsid w:val="006B3E37"/>
    <w:rsid w:val="006B738E"/>
    <w:rsid w:val="006C3CAA"/>
    <w:rsid w:val="006D58FA"/>
    <w:rsid w:val="006E457C"/>
    <w:rsid w:val="00701230"/>
    <w:rsid w:val="007020C4"/>
    <w:rsid w:val="00704E82"/>
    <w:rsid w:val="00711B5E"/>
    <w:rsid w:val="00711B64"/>
    <w:rsid w:val="00715B25"/>
    <w:rsid w:val="0072115E"/>
    <w:rsid w:val="00726E84"/>
    <w:rsid w:val="00734AEF"/>
    <w:rsid w:val="00735629"/>
    <w:rsid w:val="00741E2E"/>
    <w:rsid w:val="00746FC2"/>
    <w:rsid w:val="00747D3A"/>
    <w:rsid w:val="007508D8"/>
    <w:rsid w:val="00756507"/>
    <w:rsid w:val="00757B36"/>
    <w:rsid w:val="007614D8"/>
    <w:rsid w:val="007633E8"/>
    <w:rsid w:val="007637F1"/>
    <w:rsid w:val="0076418C"/>
    <w:rsid w:val="007648F2"/>
    <w:rsid w:val="00766652"/>
    <w:rsid w:val="007773FE"/>
    <w:rsid w:val="0078269B"/>
    <w:rsid w:val="0078543B"/>
    <w:rsid w:val="0078767F"/>
    <w:rsid w:val="00792589"/>
    <w:rsid w:val="00795BFC"/>
    <w:rsid w:val="007B0C79"/>
    <w:rsid w:val="007B45E2"/>
    <w:rsid w:val="007C0267"/>
    <w:rsid w:val="007C54E2"/>
    <w:rsid w:val="007D05EA"/>
    <w:rsid w:val="007D1277"/>
    <w:rsid w:val="007D3979"/>
    <w:rsid w:val="007D3F65"/>
    <w:rsid w:val="007D5AFE"/>
    <w:rsid w:val="007D7A80"/>
    <w:rsid w:val="007E665D"/>
    <w:rsid w:val="007F2645"/>
    <w:rsid w:val="007F4506"/>
    <w:rsid w:val="007F4C59"/>
    <w:rsid w:val="00800899"/>
    <w:rsid w:val="008024D2"/>
    <w:rsid w:val="00803F52"/>
    <w:rsid w:val="008128FD"/>
    <w:rsid w:val="008203CC"/>
    <w:rsid w:val="008273C8"/>
    <w:rsid w:val="00830EA8"/>
    <w:rsid w:val="0083193D"/>
    <w:rsid w:val="00833DF9"/>
    <w:rsid w:val="00836852"/>
    <w:rsid w:val="008376E7"/>
    <w:rsid w:val="00837789"/>
    <w:rsid w:val="00840269"/>
    <w:rsid w:val="00846699"/>
    <w:rsid w:val="00851156"/>
    <w:rsid w:val="00852F17"/>
    <w:rsid w:val="008569B4"/>
    <w:rsid w:val="008661A0"/>
    <w:rsid w:val="00866B48"/>
    <w:rsid w:val="00870C3F"/>
    <w:rsid w:val="00883742"/>
    <w:rsid w:val="00885A1F"/>
    <w:rsid w:val="00893436"/>
    <w:rsid w:val="008978E6"/>
    <w:rsid w:val="008A1260"/>
    <w:rsid w:val="008B10EB"/>
    <w:rsid w:val="008B22F3"/>
    <w:rsid w:val="008B3831"/>
    <w:rsid w:val="008B6550"/>
    <w:rsid w:val="008C1006"/>
    <w:rsid w:val="008C1272"/>
    <w:rsid w:val="008C1309"/>
    <w:rsid w:val="008C397B"/>
    <w:rsid w:val="008D3843"/>
    <w:rsid w:val="008D51A8"/>
    <w:rsid w:val="008E0FF1"/>
    <w:rsid w:val="008E16DB"/>
    <w:rsid w:val="008E3787"/>
    <w:rsid w:val="008E5337"/>
    <w:rsid w:val="008E7173"/>
    <w:rsid w:val="008F1C93"/>
    <w:rsid w:val="008F272C"/>
    <w:rsid w:val="00917198"/>
    <w:rsid w:val="00920A83"/>
    <w:rsid w:val="00923137"/>
    <w:rsid w:val="009241CA"/>
    <w:rsid w:val="009244EE"/>
    <w:rsid w:val="00935AC6"/>
    <w:rsid w:val="009362F4"/>
    <w:rsid w:val="00941C82"/>
    <w:rsid w:val="0094219A"/>
    <w:rsid w:val="00943369"/>
    <w:rsid w:val="00943921"/>
    <w:rsid w:val="00943E5B"/>
    <w:rsid w:val="00946CE7"/>
    <w:rsid w:val="00955091"/>
    <w:rsid w:val="00956E0F"/>
    <w:rsid w:val="0095774A"/>
    <w:rsid w:val="009654A4"/>
    <w:rsid w:val="00970104"/>
    <w:rsid w:val="00990CEA"/>
    <w:rsid w:val="00992C4A"/>
    <w:rsid w:val="00993DB2"/>
    <w:rsid w:val="009B20A4"/>
    <w:rsid w:val="009B33B8"/>
    <w:rsid w:val="009C75A0"/>
    <w:rsid w:val="009D0613"/>
    <w:rsid w:val="009D2547"/>
    <w:rsid w:val="009D52B3"/>
    <w:rsid w:val="009D5B86"/>
    <w:rsid w:val="009E263E"/>
    <w:rsid w:val="009F2537"/>
    <w:rsid w:val="009F396F"/>
    <w:rsid w:val="009F614B"/>
    <w:rsid w:val="00A03FF2"/>
    <w:rsid w:val="00A049CC"/>
    <w:rsid w:val="00A06332"/>
    <w:rsid w:val="00A20E37"/>
    <w:rsid w:val="00A3374E"/>
    <w:rsid w:val="00A3707B"/>
    <w:rsid w:val="00A608E3"/>
    <w:rsid w:val="00A676D2"/>
    <w:rsid w:val="00A67EEF"/>
    <w:rsid w:val="00A711CB"/>
    <w:rsid w:val="00A72FBA"/>
    <w:rsid w:val="00A77CF2"/>
    <w:rsid w:val="00A8204E"/>
    <w:rsid w:val="00A8438F"/>
    <w:rsid w:val="00A86692"/>
    <w:rsid w:val="00A94A86"/>
    <w:rsid w:val="00AA08BD"/>
    <w:rsid w:val="00AA0A18"/>
    <w:rsid w:val="00AA7528"/>
    <w:rsid w:val="00AB1DE8"/>
    <w:rsid w:val="00AB4232"/>
    <w:rsid w:val="00AB6F1F"/>
    <w:rsid w:val="00AC2DA0"/>
    <w:rsid w:val="00AC3932"/>
    <w:rsid w:val="00AC43C6"/>
    <w:rsid w:val="00AC69D3"/>
    <w:rsid w:val="00AD4D2D"/>
    <w:rsid w:val="00AE2AC0"/>
    <w:rsid w:val="00AE6DD4"/>
    <w:rsid w:val="00AE7316"/>
    <w:rsid w:val="00AE7756"/>
    <w:rsid w:val="00AE77F6"/>
    <w:rsid w:val="00AF25D7"/>
    <w:rsid w:val="00AF40E6"/>
    <w:rsid w:val="00AF44B8"/>
    <w:rsid w:val="00B0109A"/>
    <w:rsid w:val="00B014CD"/>
    <w:rsid w:val="00B03DBF"/>
    <w:rsid w:val="00B04DE4"/>
    <w:rsid w:val="00B04F86"/>
    <w:rsid w:val="00B05630"/>
    <w:rsid w:val="00B059FD"/>
    <w:rsid w:val="00B075B5"/>
    <w:rsid w:val="00B07C2C"/>
    <w:rsid w:val="00B1249A"/>
    <w:rsid w:val="00B155C4"/>
    <w:rsid w:val="00B15E9A"/>
    <w:rsid w:val="00B21672"/>
    <w:rsid w:val="00B220B8"/>
    <w:rsid w:val="00B23CE0"/>
    <w:rsid w:val="00B2639D"/>
    <w:rsid w:val="00B26EE7"/>
    <w:rsid w:val="00B27F9B"/>
    <w:rsid w:val="00B343FC"/>
    <w:rsid w:val="00B40C9B"/>
    <w:rsid w:val="00B410AB"/>
    <w:rsid w:val="00B55D4B"/>
    <w:rsid w:val="00B5736C"/>
    <w:rsid w:val="00B6090A"/>
    <w:rsid w:val="00B60C30"/>
    <w:rsid w:val="00B71A92"/>
    <w:rsid w:val="00B750AE"/>
    <w:rsid w:val="00B7727B"/>
    <w:rsid w:val="00B91039"/>
    <w:rsid w:val="00B93549"/>
    <w:rsid w:val="00B95921"/>
    <w:rsid w:val="00B95E14"/>
    <w:rsid w:val="00BB0B50"/>
    <w:rsid w:val="00BC7AAC"/>
    <w:rsid w:val="00BD0D69"/>
    <w:rsid w:val="00BD6DAC"/>
    <w:rsid w:val="00BE798A"/>
    <w:rsid w:val="00BF188A"/>
    <w:rsid w:val="00BF50AD"/>
    <w:rsid w:val="00C12039"/>
    <w:rsid w:val="00C146BC"/>
    <w:rsid w:val="00C15078"/>
    <w:rsid w:val="00C21256"/>
    <w:rsid w:val="00C2313D"/>
    <w:rsid w:val="00C242F6"/>
    <w:rsid w:val="00C270AC"/>
    <w:rsid w:val="00C334FE"/>
    <w:rsid w:val="00C375DF"/>
    <w:rsid w:val="00C42412"/>
    <w:rsid w:val="00C43A61"/>
    <w:rsid w:val="00C47454"/>
    <w:rsid w:val="00C478FE"/>
    <w:rsid w:val="00C558D6"/>
    <w:rsid w:val="00C55C36"/>
    <w:rsid w:val="00C70791"/>
    <w:rsid w:val="00C70953"/>
    <w:rsid w:val="00C73DBB"/>
    <w:rsid w:val="00C82C00"/>
    <w:rsid w:val="00C8416A"/>
    <w:rsid w:val="00C85AEC"/>
    <w:rsid w:val="00C904C9"/>
    <w:rsid w:val="00C9107F"/>
    <w:rsid w:val="00C91867"/>
    <w:rsid w:val="00C930BB"/>
    <w:rsid w:val="00C95269"/>
    <w:rsid w:val="00C96046"/>
    <w:rsid w:val="00CA276D"/>
    <w:rsid w:val="00CA7D34"/>
    <w:rsid w:val="00CB0773"/>
    <w:rsid w:val="00CB3586"/>
    <w:rsid w:val="00CB5965"/>
    <w:rsid w:val="00CC0E78"/>
    <w:rsid w:val="00CC1EBB"/>
    <w:rsid w:val="00CC5441"/>
    <w:rsid w:val="00CC6F88"/>
    <w:rsid w:val="00CD2AAF"/>
    <w:rsid w:val="00CD647F"/>
    <w:rsid w:val="00CE260D"/>
    <w:rsid w:val="00CE3484"/>
    <w:rsid w:val="00CF2716"/>
    <w:rsid w:val="00CF411A"/>
    <w:rsid w:val="00CF571C"/>
    <w:rsid w:val="00CF7DDE"/>
    <w:rsid w:val="00D00B87"/>
    <w:rsid w:val="00D0100A"/>
    <w:rsid w:val="00D052A4"/>
    <w:rsid w:val="00D0687C"/>
    <w:rsid w:val="00D11D0D"/>
    <w:rsid w:val="00D12D40"/>
    <w:rsid w:val="00D143F4"/>
    <w:rsid w:val="00D17016"/>
    <w:rsid w:val="00D23D31"/>
    <w:rsid w:val="00D23F72"/>
    <w:rsid w:val="00D262A1"/>
    <w:rsid w:val="00D30ABD"/>
    <w:rsid w:val="00D31B3C"/>
    <w:rsid w:val="00D339B7"/>
    <w:rsid w:val="00D339C1"/>
    <w:rsid w:val="00D5230A"/>
    <w:rsid w:val="00D52D13"/>
    <w:rsid w:val="00D54E78"/>
    <w:rsid w:val="00D5725A"/>
    <w:rsid w:val="00D66FBD"/>
    <w:rsid w:val="00D72A09"/>
    <w:rsid w:val="00D8065A"/>
    <w:rsid w:val="00D809C9"/>
    <w:rsid w:val="00D82FAC"/>
    <w:rsid w:val="00D85EAD"/>
    <w:rsid w:val="00D866DB"/>
    <w:rsid w:val="00D8774D"/>
    <w:rsid w:val="00D975ED"/>
    <w:rsid w:val="00DA5A9D"/>
    <w:rsid w:val="00DB2921"/>
    <w:rsid w:val="00DB3D2D"/>
    <w:rsid w:val="00DB4414"/>
    <w:rsid w:val="00DB4967"/>
    <w:rsid w:val="00DB7242"/>
    <w:rsid w:val="00DB7D45"/>
    <w:rsid w:val="00DC0BBD"/>
    <w:rsid w:val="00DC1FAB"/>
    <w:rsid w:val="00DC3B96"/>
    <w:rsid w:val="00DD7153"/>
    <w:rsid w:val="00DE0097"/>
    <w:rsid w:val="00DE13D3"/>
    <w:rsid w:val="00DE5FDF"/>
    <w:rsid w:val="00DF17ED"/>
    <w:rsid w:val="00DF31D0"/>
    <w:rsid w:val="00DF4A95"/>
    <w:rsid w:val="00DF4C16"/>
    <w:rsid w:val="00E00ADC"/>
    <w:rsid w:val="00E011AB"/>
    <w:rsid w:val="00E02D93"/>
    <w:rsid w:val="00E0596C"/>
    <w:rsid w:val="00E13439"/>
    <w:rsid w:val="00E206EC"/>
    <w:rsid w:val="00E2200E"/>
    <w:rsid w:val="00E23BDF"/>
    <w:rsid w:val="00E245D5"/>
    <w:rsid w:val="00E248D1"/>
    <w:rsid w:val="00E258BA"/>
    <w:rsid w:val="00E3385B"/>
    <w:rsid w:val="00E37164"/>
    <w:rsid w:val="00E37B8D"/>
    <w:rsid w:val="00E40C15"/>
    <w:rsid w:val="00E470CE"/>
    <w:rsid w:val="00E47376"/>
    <w:rsid w:val="00E51FA5"/>
    <w:rsid w:val="00E5670D"/>
    <w:rsid w:val="00E575E6"/>
    <w:rsid w:val="00E7063D"/>
    <w:rsid w:val="00E75FC4"/>
    <w:rsid w:val="00E76C8E"/>
    <w:rsid w:val="00E8102F"/>
    <w:rsid w:val="00E81512"/>
    <w:rsid w:val="00E854CA"/>
    <w:rsid w:val="00EA3D14"/>
    <w:rsid w:val="00EA4060"/>
    <w:rsid w:val="00EA5B8C"/>
    <w:rsid w:val="00EA64B6"/>
    <w:rsid w:val="00EB4084"/>
    <w:rsid w:val="00EB492E"/>
    <w:rsid w:val="00EB4FE0"/>
    <w:rsid w:val="00EC0CE5"/>
    <w:rsid w:val="00EC1F5E"/>
    <w:rsid w:val="00EC207C"/>
    <w:rsid w:val="00EC38D2"/>
    <w:rsid w:val="00EC5FEC"/>
    <w:rsid w:val="00EC612C"/>
    <w:rsid w:val="00EC7246"/>
    <w:rsid w:val="00ED4718"/>
    <w:rsid w:val="00ED5154"/>
    <w:rsid w:val="00ED58BC"/>
    <w:rsid w:val="00ED65ED"/>
    <w:rsid w:val="00EE0CB9"/>
    <w:rsid w:val="00EE144C"/>
    <w:rsid w:val="00EE2B8E"/>
    <w:rsid w:val="00EE3B6B"/>
    <w:rsid w:val="00EE7616"/>
    <w:rsid w:val="00EF0CA5"/>
    <w:rsid w:val="00EF3306"/>
    <w:rsid w:val="00EF6B74"/>
    <w:rsid w:val="00EF77DA"/>
    <w:rsid w:val="00F02A6C"/>
    <w:rsid w:val="00F107A0"/>
    <w:rsid w:val="00F2526E"/>
    <w:rsid w:val="00F31E18"/>
    <w:rsid w:val="00F3597D"/>
    <w:rsid w:val="00F37969"/>
    <w:rsid w:val="00F43A28"/>
    <w:rsid w:val="00F46493"/>
    <w:rsid w:val="00F47F96"/>
    <w:rsid w:val="00F55895"/>
    <w:rsid w:val="00F63407"/>
    <w:rsid w:val="00F64FE9"/>
    <w:rsid w:val="00F658BD"/>
    <w:rsid w:val="00F66AEF"/>
    <w:rsid w:val="00F67549"/>
    <w:rsid w:val="00F7003B"/>
    <w:rsid w:val="00F748EB"/>
    <w:rsid w:val="00F84EB1"/>
    <w:rsid w:val="00F86058"/>
    <w:rsid w:val="00F87075"/>
    <w:rsid w:val="00FA263E"/>
    <w:rsid w:val="00FA31A3"/>
    <w:rsid w:val="00FA4FF5"/>
    <w:rsid w:val="00FA51D6"/>
    <w:rsid w:val="00FB6CA6"/>
    <w:rsid w:val="00FC312B"/>
    <w:rsid w:val="00FD1783"/>
    <w:rsid w:val="00FD75A9"/>
    <w:rsid w:val="00FF26DD"/>
    <w:rsid w:val="00FF3EFC"/>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DE19C"/>
  <w15:chartTrackingRefBased/>
  <w15:docId w15:val="{3D958152-1358-4635-B9CB-0CB462B1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CCMA"/>
    <w:qFormat/>
    <w:rsid w:val="00AC69D3"/>
    <w:pPr>
      <w:spacing w:after="0" w:line="264" w:lineRule="auto"/>
    </w:pPr>
    <w:rPr>
      <w:rFonts w:ascii="Arial" w:hAnsi="Arial"/>
    </w:rPr>
  </w:style>
  <w:style w:type="paragraph" w:styleId="Heading1">
    <w:name w:val="heading 1"/>
    <w:aliases w:val="Heading 1 - CCMA"/>
    <w:basedOn w:val="Normal"/>
    <w:next w:val="Normal"/>
    <w:link w:val="Heading1Char"/>
    <w:autoRedefine/>
    <w:uiPriority w:val="9"/>
    <w:qFormat/>
    <w:rsid w:val="00D866DB"/>
    <w:pPr>
      <w:keepNext/>
      <w:keepLines/>
      <w:spacing w:line="240" w:lineRule="auto"/>
      <w:outlineLvl w:val="0"/>
    </w:pPr>
    <w:rPr>
      <w:rFonts w:eastAsiaTheme="majorEastAsia" w:cstheme="majorBidi"/>
      <w:b/>
      <w:sz w:val="32"/>
      <w:szCs w:val="32"/>
    </w:rPr>
  </w:style>
  <w:style w:type="paragraph" w:styleId="Heading2">
    <w:name w:val="heading 2"/>
    <w:aliases w:val="Heading 2 - CCMA"/>
    <w:basedOn w:val="Normal"/>
    <w:next w:val="Normal"/>
    <w:link w:val="Heading2Char"/>
    <w:autoRedefine/>
    <w:uiPriority w:val="9"/>
    <w:unhideWhenUsed/>
    <w:qFormat/>
    <w:rsid w:val="00D72A09"/>
    <w:pPr>
      <w:numPr>
        <w:numId w:val="1"/>
      </w:numPr>
      <w:tabs>
        <w:tab w:val="left" w:pos="900"/>
      </w:tabs>
      <w:spacing w:before="4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B014C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unhideWhenUsed/>
    <w:qFormat/>
    <w:rsid w:val="00A711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010D88"/>
    <w:pPr>
      <w:ind w:left="720"/>
      <w:contextualSpacing/>
    </w:pPr>
  </w:style>
  <w:style w:type="paragraph" w:styleId="Header">
    <w:name w:val="header"/>
    <w:basedOn w:val="Normal"/>
    <w:link w:val="HeaderChar"/>
    <w:uiPriority w:val="99"/>
    <w:unhideWhenUsed/>
    <w:rsid w:val="00FF59F8"/>
    <w:pPr>
      <w:tabs>
        <w:tab w:val="center" w:pos="4680"/>
        <w:tab w:val="right" w:pos="9360"/>
      </w:tabs>
      <w:spacing w:line="240" w:lineRule="auto"/>
    </w:pPr>
  </w:style>
  <w:style w:type="character" w:customStyle="1" w:styleId="HeaderChar">
    <w:name w:val="Header Char"/>
    <w:basedOn w:val="DefaultParagraphFont"/>
    <w:link w:val="Header"/>
    <w:uiPriority w:val="99"/>
    <w:rsid w:val="00FF59F8"/>
  </w:style>
  <w:style w:type="paragraph" w:styleId="Footer">
    <w:name w:val="footer"/>
    <w:basedOn w:val="Normal"/>
    <w:link w:val="FooterChar"/>
    <w:uiPriority w:val="99"/>
    <w:unhideWhenUsed/>
    <w:rsid w:val="00FF59F8"/>
    <w:pPr>
      <w:tabs>
        <w:tab w:val="center" w:pos="4680"/>
        <w:tab w:val="right" w:pos="9360"/>
      </w:tabs>
      <w:spacing w:line="240" w:lineRule="auto"/>
    </w:pPr>
  </w:style>
  <w:style w:type="character" w:customStyle="1" w:styleId="FooterChar">
    <w:name w:val="Footer Char"/>
    <w:basedOn w:val="DefaultParagraphFont"/>
    <w:link w:val="Footer"/>
    <w:uiPriority w:val="99"/>
    <w:rsid w:val="00FF59F8"/>
  </w:style>
  <w:style w:type="character" w:customStyle="1" w:styleId="Heading1Char">
    <w:name w:val="Heading 1 Char"/>
    <w:aliases w:val="Heading 1 - CCMA Char"/>
    <w:basedOn w:val="DefaultParagraphFont"/>
    <w:link w:val="Heading1"/>
    <w:uiPriority w:val="9"/>
    <w:rsid w:val="00D866DB"/>
    <w:rPr>
      <w:rFonts w:ascii="Arial" w:eastAsiaTheme="majorEastAsia" w:hAnsi="Arial" w:cstheme="majorBidi"/>
      <w:b/>
      <w:sz w:val="32"/>
      <w:szCs w:val="32"/>
    </w:rPr>
  </w:style>
  <w:style w:type="character" w:customStyle="1" w:styleId="Heading2Char">
    <w:name w:val="Heading 2 Char"/>
    <w:aliases w:val="Heading 2 - CCMA Char"/>
    <w:basedOn w:val="DefaultParagraphFont"/>
    <w:link w:val="Heading2"/>
    <w:uiPriority w:val="9"/>
    <w:rsid w:val="00D72A09"/>
    <w:rPr>
      <w:rFonts w:ascii="Arial" w:eastAsiaTheme="majorEastAsia" w:hAnsi="Arial" w:cstheme="majorBidi"/>
      <w:b/>
      <w:sz w:val="24"/>
      <w:szCs w:val="26"/>
    </w:rPr>
  </w:style>
  <w:style w:type="paragraph" w:styleId="TOCHeading">
    <w:name w:val="TOC Heading"/>
    <w:basedOn w:val="Heading1"/>
    <w:next w:val="Normal"/>
    <w:uiPriority w:val="39"/>
    <w:unhideWhenUsed/>
    <w:qFormat/>
    <w:rsid w:val="00F63407"/>
    <w:pPr>
      <w:spacing w:before="24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B3831"/>
    <w:pPr>
      <w:numPr>
        <w:numId w:val="19"/>
      </w:numPr>
      <w:tabs>
        <w:tab w:val="left" w:pos="360"/>
        <w:tab w:val="right" w:leader="dot" w:pos="9350"/>
      </w:tabs>
      <w:spacing w:after="100"/>
      <w:ind w:left="270"/>
    </w:pPr>
    <w:rPr>
      <w:b/>
      <w:noProof/>
      <w:sz w:val="28"/>
      <w:szCs w:val="28"/>
    </w:rPr>
  </w:style>
  <w:style w:type="paragraph" w:styleId="TOC2">
    <w:name w:val="toc 2"/>
    <w:basedOn w:val="Normal"/>
    <w:next w:val="Normal"/>
    <w:autoRedefine/>
    <w:uiPriority w:val="39"/>
    <w:unhideWhenUsed/>
    <w:rsid w:val="00047A32"/>
    <w:pPr>
      <w:tabs>
        <w:tab w:val="right" w:pos="360"/>
        <w:tab w:val="left" w:pos="720"/>
        <w:tab w:val="right" w:leader="dot" w:pos="9350"/>
      </w:tabs>
      <w:spacing w:after="100"/>
      <w:ind w:left="720" w:hanging="360"/>
    </w:pPr>
  </w:style>
  <w:style w:type="character" w:styleId="Hyperlink">
    <w:name w:val="Hyperlink"/>
    <w:basedOn w:val="DefaultParagraphFont"/>
    <w:uiPriority w:val="99"/>
    <w:unhideWhenUsed/>
    <w:rsid w:val="00F63407"/>
    <w:rPr>
      <w:color w:val="0563C1"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B075B5"/>
    <w:rPr>
      <w:rFonts w:ascii="Arial" w:hAnsi="Arial"/>
    </w:rPr>
  </w:style>
  <w:style w:type="paragraph" w:styleId="NormalWeb">
    <w:name w:val="Normal (Web)"/>
    <w:basedOn w:val="Normal"/>
    <w:uiPriority w:val="99"/>
    <w:unhideWhenUsed/>
    <w:rsid w:val="003629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37F1"/>
    <w:rPr>
      <w:color w:val="954F72" w:themeColor="followedHyperlink"/>
      <w:u w:val="single"/>
    </w:rPr>
  </w:style>
  <w:style w:type="paragraph" w:styleId="BodyText">
    <w:name w:val="Body Text"/>
    <w:basedOn w:val="Normal"/>
    <w:link w:val="BodyTextChar"/>
    <w:uiPriority w:val="1"/>
    <w:qFormat/>
    <w:rsid w:val="008A1260"/>
    <w:pPr>
      <w:widowControl w:val="0"/>
      <w:autoSpaceDE w:val="0"/>
      <w:autoSpaceDN w:val="0"/>
      <w:spacing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8A1260"/>
    <w:rPr>
      <w:rFonts w:ascii="Tahoma" w:eastAsia="Tahoma" w:hAnsi="Tahoma" w:cs="Tahoma"/>
      <w:sz w:val="20"/>
      <w:szCs w:val="20"/>
      <w:lang w:bidi="en-US"/>
    </w:rPr>
  </w:style>
  <w:style w:type="paragraph" w:styleId="FootnoteText">
    <w:name w:val="footnote text"/>
    <w:basedOn w:val="Normal"/>
    <w:link w:val="FootnoteTextChar"/>
    <w:uiPriority w:val="99"/>
    <w:semiHidden/>
    <w:unhideWhenUsed/>
    <w:rsid w:val="000940B2"/>
    <w:pPr>
      <w:spacing w:line="240" w:lineRule="auto"/>
    </w:pPr>
    <w:rPr>
      <w:sz w:val="20"/>
      <w:szCs w:val="20"/>
    </w:rPr>
  </w:style>
  <w:style w:type="character" w:customStyle="1" w:styleId="FootnoteTextChar">
    <w:name w:val="Footnote Text Char"/>
    <w:basedOn w:val="DefaultParagraphFont"/>
    <w:link w:val="FootnoteText"/>
    <w:uiPriority w:val="99"/>
    <w:semiHidden/>
    <w:rsid w:val="000940B2"/>
    <w:rPr>
      <w:rFonts w:ascii="Arial" w:hAnsi="Arial"/>
      <w:sz w:val="20"/>
      <w:szCs w:val="20"/>
    </w:rPr>
  </w:style>
  <w:style w:type="character" w:styleId="FootnoteReference">
    <w:name w:val="footnote reference"/>
    <w:basedOn w:val="DefaultParagraphFont"/>
    <w:uiPriority w:val="99"/>
    <w:semiHidden/>
    <w:unhideWhenUsed/>
    <w:rsid w:val="000940B2"/>
    <w:rPr>
      <w:vertAlign w:val="superscript"/>
    </w:rPr>
  </w:style>
  <w:style w:type="character" w:customStyle="1" w:styleId="UnresolvedMention1">
    <w:name w:val="Unresolved Mention1"/>
    <w:basedOn w:val="DefaultParagraphFont"/>
    <w:uiPriority w:val="99"/>
    <w:semiHidden/>
    <w:unhideWhenUsed/>
    <w:rsid w:val="00E2200E"/>
    <w:rPr>
      <w:color w:val="605E5C"/>
      <w:shd w:val="clear" w:color="auto" w:fill="E1DFDD"/>
    </w:rPr>
  </w:style>
  <w:style w:type="character" w:customStyle="1" w:styleId="Heading8Char">
    <w:name w:val="Heading 8 Char"/>
    <w:basedOn w:val="DefaultParagraphFont"/>
    <w:link w:val="Heading8"/>
    <w:uiPriority w:val="9"/>
    <w:rsid w:val="00A711CB"/>
    <w:rPr>
      <w:rFonts w:asciiTheme="majorHAnsi" w:eastAsiaTheme="majorEastAsia" w:hAnsiTheme="majorHAnsi" w:cstheme="majorBidi"/>
      <w:color w:val="272727" w:themeColor="text1" w:themeTint="D8"/>
      <w:sz w:val="21"/>
      <w:szCs w:val="21"/>
    </w:rPr>
  </w:style>
  <w:style w:type="paragraph" w:customStyle="1" w:styleId="Default">
    <w:name w:val="Default"/>
    <w:rsid w:val="0017771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F2492"/>
    <w:rPr>
      <w:b/>
      <w:bCs/>
    </w:rPr>
  </w:style>
  <w:style w:type="character" w:customStyle="1" w:styleId="Heading3Char">
    <w:name w:val="Heading 3 Char"/>
    <w:basedOn w:val="DefaultParagraphFont"/>
    <w:link w:val="Heading3"/>
    <w:uiPriority w:val="9"/>
    <w:semiHidden/>
    <w:rsid w:val="00B014C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44B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36"/>
    <w:rPr>
      <w:rFonts w:ascii="Segoe UI" w:hAnsi="Segoe UI" w:cs="Segoe UI"/>
      <w:sz w:val="18"/>
      <w:szCs w:val="18"/>
    </w:rPr>
  </w:style>
  <w:style w:type="paragraph" w:styleId="Revision">
    <w:name w:val="Revision"/>
    <w:hidden/>
    <w:uiPriority w:val="99"/>
    <w:semiHidden/>
    <w:rsid w:val="00FF26DD"/>
    <w:pPr>
      <w:spacing w:after="0" w:line="240" w:lineRule="auto"/>
    </w:pPr>
    <w:rPr>
      <w:rFonts w:ascii="Arial" w:hAnsi="Arial"/>
    </w:rPr>
  </w:style>
  <w:style w:type="character" w:styleId="CommentReference">
    <w:name w:val="annotation reference"/>
    <w:basedOn w:val="DefaultParagraphFont"/>
    <w:uiPriority w:val="99"/>
    <w:semiHidden/>
    <w:unhideWhenUsed/>
    <w:rsid w:val="00670E1B"/>
    <w:rPr>
      <w:sz w:val="16"/>
      <w:szCs w:val="16"/>
    </w:rPr>
  </w:style>
  <w:style w:type="paragraph" w:styleId="CommentText">
    <w:name w:val="annotation text"/>
    <w:basedOn w:val="Normal"/>
    <w:link w:val="CommentTextChar"/>
    <w:uiPriority w:val="99"/>
    <w:semiHidden/>
    <w:unhideWhenUsed/>
    <w:rsid w:val="00670E1B"/>
    <w:pPr>
      <w:spacing w:line="240" w:lineRule="auto"/>
    </w:pPr>
    <w:rPr>
      <w:sz w:val="20"/>
      <w:szCs w:val="20"/>
    </w:rPr>
  </w:style>
  <w:style w:type="character" w:customStyle="1" w:styleId="CommentTextChar">
    <w:name w:val="Comment Text Char"/>
    <w:basedOn w:val="DefaultParagraphFont"/>
    <w:link w:val="CommentText"/>
    <w:uiPriority w:val="99"/>
    <w:semiHidden/>
    <w:rsid w:val="00670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1B"/>
    <w:rPr>
      <w:b/>
      <w:bCs/>
    </w:rPr>
  </w:style>
  <w:style w:type="character" w:customStyle="1" w:styleId="CommentSubjectChar">
    <w:name w:val="Comment Subject Char"/>
    <w:basedOn w:val="CommentTextChar"/>
    <w:link w:val="CommentSubject"/>
    <w:uiPriority w:val="99"/>
    <w:semiHidden/>
    <w:rsid w:val="00670E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6735">
      <w:bodyDiv w:val="1"/>
      <w:marLeft w:val="0"/>
      <w:marRight w:val="0"/>
      <w:marTop w:val="0"/>
      <w:marBottom w:val="0"/>
      <w:divBdr>
        <w:top w:val="none" w:sz="0" w:space="0" w:color="auto"/>
        <w:left w:val="none" w:sz="0" w:space="0" w:color="auto"/>
        <w:bottom w:val="none" w:sz="0" w:space="0" w:color="auto"/>
        <w:right w:val="none" w:sz="0" w:space="0" w:color="auto"/>
      </w:divBdr>
    </w:div>
    <w:div w:id="1121529801">
      <w:bodyDiv w:val="1"/>
      <w:marLeft w:val="0"/>
      <w:marRight w:val="0"/>
      <w:marTop w:val="0"/>
      <w:marBottom w:val="0"/>
      <w:divBdr>
        <w:top w:val="none" w:sz="0" w:space="0" w:color="auto"/>
        <w:left w:val="none" w:sz="0" w:space="0" w:color="auto"/>
        <w:bottom w:val="none" w:sz="0" w:space="0" w:color="auto"/>
        <w:right w:val="none" w:sz="0" w:space="0" w:color="auto"/>
      </w:divBdr>
    </w:div>
    <w:div w:id="1597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spectives.dtcc.com/file-download/207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info/consultations/finance-2017-post-trade_en" TargetMode="External"/><Relationship Id="rId2" Type="http://schemas.openxmlformats.org/officeDocument/2006/relationships/numbering" Target="numbering.xml"/><Relationship Id="rId16" Type="http://schemas.openxmlformats.org/officeDocument/2006/relationships/hyperlink" Target="http://ccma-acmc.ca/en/wp-content/uploads/European-Commission-Public-Consultation-on-post-trade-in-a-Capital-Market-Union-dismantling-barriers-and-strategy-for-the-future-August-23-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cma-acmc.ca/en/wp-content/uploads/CCMA-announces-the-creation-of-Advisory-Council-seeks-members-1.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cma-acmc.ca/en/wp-content/uploads/T2-Project-Post-Mortem-Report-April-19-201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cma-acmc.ca/en/wp-content/uploads/Shortened_Settlement_Cycle_Final_Rule_34-80295_20170322.pdf" TargetMode="External"/><Relationship Id="rId2" Type="http://schemas.openxmlformats.org/officeDocument/2006/relationships/hyperlink" Target="http://ccma-acmc.ca/en/wp-content/uploads/Charles-River-Report-Nov10.pdf" TargetMode="External"/><Relationship Id="rId1" Type="http://schemas.openxmlformats.org/officeDocument/2006/relationships/hyperlink" Target="https://dtcclearning.com/documents/settlement-optimization/settlement-optimization-resources/documentation-1/2820-modernizing-the-u-s-equity-post-trade-infrastructure/file.html" TargetMode="External"/><Relationship Id="rId4" Type="http://schemas.openxmlformats.org/officeDocument/2006/relationships/hyperlink" Target="https://ec.europa.eu/info/sites/info/files/2017-post-trade-feedback-statement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85B4-7B95-4A4E-9026-135DCECC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Evans</dc:creator>
  <cp:keywords/>
  <dc:description/>
  <cp:lastModifiedBy>Keith Evans</cp:lastModifiedBy>
  <cp:revision>2</cp:revision>
  <cp:lastPrinted>2019-04-03T14:51:00Z</cp:lastPrinted>
  <dcterms:created xsi:type="dcterms:W3CDTF">2019-04-05T16:48:00Z</dcterms:created>
  <dcterms:modified xsi:type="dcterms:W3CDTF">2019-04-05T16:48:00Z</dcterms:modified>
</cp:coreProperties>
</file>