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1" w:rsidRPr="00D2082C" w:rsidRDefault="007024CF">
      <w:pPr>
        <w:rPr>
          <w:b/>
          <w:sz w:val="24"/>
          <w:szCs w:val="24"/>
        </w:rPr>
      </w:pPr>
      <w:r w:rsidRPr="00D2082C">
        <w:rPr>
          <w:b/>
          <w:sz w:val="24"/>
          <w:szCs w:val="24"/>
        </w:rPr>
        <w:t xml:space="preserve">Request for Comments </w:t>
      </w:r>
      <w:r w:rsidR="00D2082C" w:rsidRPr="00D2082C">
        <w:rPr>
          <w:b/>
          <w:color w:val="FF0000"/>
          <w:sz w:val="24"/>
          <w:szCs w:val="24"/>
        </w:rPr>
        <w:t xml:space="preserve">by </w:t>
      </w:r>
      <w:r w:rsidR="00985F07">
        <w:rPr>
          <w:b/>
          <w:color w:val="FF0000"/>
          <w:sz w:val="24"/>
          <w:szCs w:val="24"/>
        </w:rPr>
        <w:t>May 31</w:t>
      </w:r>
      <w:r w:rsidR="00D2082C" w:rsidRPr="00D2082C">
        <w:rPr>
          <w:b/>
          <w:color w:val="FF0000"/>
          <w:sz w:val="24"/>
          <w:szCs w:val="24"/>
        </w:rPr>
        <w:t xml:space="preserve"> </w:t>
      </w:r>
      <w:r w:rsidRPr="00D2082C">
        <w:rPr>
          <w:b/>
          <w:sz w:val="24"/>
          <w:szCs w:val="24"/>
        </w:rPr>
        <w:t>on Expectation of T+2 Settlement for Rarer Investment Fund Types</w:t>
      </w:r>
    </w:p>
    <w:p w:rsidR="007024CF" w:rsidRPr="00926336" w:rsidRDefault="007024CF">
      <w:r>
        <w:t xml:space="preserve">Below is an extract from the </w:t>
      </w:r>
      <w:r w:rsidR="009E2553">
        <w:t>CCMA A</w:t>
      </w:r>
      <w:r>
        <w:t xml:space="preserve">sset </w:t>
      </w:r>
      <w:r w:rsidR="009E2553">
        <w:t>L</w:t>
      </w:r>
      <w:r>
        <w:t xml:space="preserve">ist, expanded to break down </w:t>
      </w:r>
      <w:r w:rsidR="00132CCC">
        <w:t xml:space="preserve">into greater detail </w:t>
      </w:r>
      <w:r>
        <w:t xml:space="preserve">investments funds </w:t>
      </w:r>
      <w:r w:rsidR="009B50B0">
        <w:t xml:space="preserve">according to </w:t>
      </w:r>
      <w:r w:rsidR="00093C80">
        <w:t xml:space="preserve">the </w:t>
      </w:r>
      <w:r w:rsidR="00132CCC">
        <w:t xml:space="preserve">securities </w:t>
      </w:r>
      <w:r w:rsidR="00093C80">
        <w:t xml:space="preserve">rules </w:t>
      </w:r>
      <w:r w:rsidR="009E2553">
        <w:t xml:space="preserve">or other </w:t>
      </w:r>
      <w:r w:rsidR="009B50B0">
        <w:t xml:space="preserve">documents </w:t>
      </w:r>
      <w:r w:rsidR="000149DD">
        <w:t>governing them</w:t>
      </w:r>
      <w:r w:rsidR="00351A86">
        <w:t xml:space="preserve">, </w:t>
      </w:r>
      <w:r w:rsidR="00F21882">
        <w:t xml:space="preserve">with </w:t>
      </w:r>
      <w:r w:rsidR="00F02A89">
        <w:t xml:space="preserve">additional commentary and expectations </w:t>
      </w:r>
      <w:r w:rsidR="00DD335B">
        <w:t xml:space="preserve">regarding moving to T+2 in the case of </w:t>
      </w:r>
      <w:r w:rsidR="00F02A89">
        <w:t xml:space="preserve">rarer types </w:t>
      </w:r>
      <w:r w:rsidR="00DD335B">
        <w:t>of funds</w:t>
      </w:r>
      <w:r w:rsidR="00F21882">
        <w:t>, as well as requests for feedback in a number of more specialized areas</w:t>
      </w:r>
      <w:r w:rsidR="00DD335B">
        <w:t xml:space="preserve">.  Please circulate this list to those in your organization who </w:t>
      </w:r>
      <w:r w:rsidR="009B50B0">
        <w:t xml:space="preserve">have knowledge of funds and provide – or request that they provide – </w:t>
      </w:r>
      <w:r w:rsidR="009B50B0" w:rsidRPr="00C80355">
        <w:rPr>
          <w:b/>
        </w:rPr>
        <w:t xml:space="preserve">feedback or other </w:t>
      </w:r>
      <w:r w:rsidR="00B84D7C">
        <w:rPr>
          <w:b/>
        </w:rPr>
        <w:t xml:space="preserve">fund-knowledgeable </w:t>
      </w:r>
      <w:r w:rsidR="009B50B0" w:rsidRPr="00C80355">
        <w:rPr>
          <w:b/>
        </w:rPr>
        <w:t xml:space="preserve">contacts </w:t>
      </w:r>
      <w:r w:rsidR="00AC7D84" w:rsidRPr="00C80355">
        <w:rPr>
          <w:b/>
        </w:rPr>
        <w:t>to</w:t>
      </w:r>
      <w:r w:rsidR="00AC7D84">
        <w:t xml:space="preserve"> </w:t>
      </w:r>
      <w:hyperlink r:id="rId8" w:history="1">
        <w:r w:rsidR="005431FB" w:rsidRPr="00C80355">
          <w:rPr>
            <w:rStyle w:val="Hyperlink"/>
            <w:b/>
          </w:rPr>
          <w:t>the CCMA</w:t>
        </w:r>
      </w:hyperlink>
      <w:r w:rsidR="00AC7D84">
        <w:t xml:space="preserve"> </w:t>
      </w:r>
      <w:r w:rsidR="009B50B0">
        <w:t xml:space="preserve">to help confirm each category as </w:t>
      </w:r>
      <w:r w:rsidR="000149DD">
        <w:t xml:space="preserve">either </w:t>
      </w:r>
      <w:r w:rsidR="009B50B0">
        <w:t xml:space="preserve">moving to a T+2 standard; </w:t>
      </w:r>
      <w:r w:rsidR="009B50B0" w:rsidRPr="00D2082C">
        <w:rPr>
          <w:i/>
        </w:rPr>
        <w:t>not</w:t>
      </w:r>
      <w:r w:rsidR="009B50B0">
        <w:t xml:space="preserve"> moving to a T+2 standard; or </w:t>
      </w:r>
      <w:r w:rsidR="00B84D7C">
        <w:t xml:space="preserve">will vary </w:t>
      </w:r>
      <w:r w:rsidR="000149DD">
        <w:t>(and why)</w:t>
      </w:r>
      <w:r w:rsidR="009B50B0">
        <w:t>.</w:t>
      </w:r>
      <w:r w:rsidR="00C216FB">
        <w:t xml:space="preserve">  </w:t>
      </w:r>
      <w:r w:rsidR="00C216FB" w:rsidRPr="009D29F0">
        <w:rPr>
          <w:b/>
        </w:rPr>
        <w:t xml:space="preserve">Please note that the CCMA is particularly interested in any information regarding </w:t>
      </w:r>
      <w:r w:rsidR="00926336" w:rsidRPr="009D29F0">
        <w:rPr>
          <w:b/>
        </w:rPr>
        <w:t xml:space="preserve">funds that will </w:t>
      </w:r>
      <w:r w:rsidR="00926336" w:rsidRPr="009D29F0">
        <w:rPr>
          <w:b/>
          <w:i/>
        </w:rPr>
        <w:t xml:space="preserve">not </w:t>
      </w:r>
      <w:r w:rsidR="00926336" w:rsidRPr="009D29F0">
        <w:rPr>
          <w:b/>
        </w:rPr>
        <w:t>be moving to T+2, for example, potentially some that may be domiciled outside of Canada</w:t>
      </w:r>
      <w:r w:rsidR="00B84D7C" w:rsidRPr="009D29F0">
        <w:rPr>
          <w:b/>
        </w:rPr>
        <w:t xml:space="preserve"> where they are subject to a T+3 </w:t>
      </w:r>
      <w:r w:rsidR="009D29F0" w:rsidRPr="009D29F0">
        <w:rPr>
          <w:b/>
        </w:rPr>
        <w:t>or more cycle</w:t>
      </w:r>
      <w:r w:rsidR="00C80355" w:rsidRPr="009D29F0">
        <w:rPr>
          <w:b/>
        </w:rPr>
        <w:t xml:space="preserve">, or are </w:t>
      </w:r>
      <w:r w:rsidR="009D29F0" w:rsidRPr="009D29F0">
        <w:rPr>
          <w:b/>
        </w:rPr>
        <w:t xml:space="preserve">bound by </w:t>
      </w:r>
      <w:r w:rsidR="00C80355" w:rsidRPr="009D29F0">
        <w:rPr>
          <w:b/>
        </w:rPr>
        <w:t xml:space="preserve">other rules, practices, or </w:t>
      </w:r>
      <w:r w:rsidR="009D29F0" w:rsidRPr="009D29F0">
        <w:rPr>
          <w:b/>
        </w:rPr>
        <w:t>situations.</w:t>
      </w:r>
      <w:r w:rsidR="00C80355">
        <w:t xml:space="preserve"> </w:t>
      </w: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695"/>
        <w:gridCol w:w="2790"/>
        <w:gridCol w:w="3063"/>
        <w:gridCol w:w="2520"/>
      </w:tblGrid>
      <w:tr w:rsidR="001469A4" w:rsidRPr="00D2082C" w:rsidTr="000B5C64">
        <w:trPr>
          <w:tblHeader/>
        </w:trPr>
        <w:tc>
          <w:tcPr>
            <w:tcW w:w="2695" w:type="dxa"/>
          </w:tcPr>
          <w:p w:rsidR="001469A4" w:rsidRPr="00D2082C" w:rsidRDefault="001469A4" w:rsidP="0069620D">
            <w:pPr>
              <w:pStyle w:val="Default"/>
              <w:jc w:val="center"/>
              <w:rPr>
                <w:sz w:val="22"/>
                <w:szCs w:val="22"/>
              </w:rPr>
            </w:pPr>
            <w:r w:rsidRPr="00D2082C">
              <w:rPr>
                <w:b/>
                <w:bCs/>
                <w:sz w:val="22"/>
                <w:szCs w:val="22"/>
              </w:rPr>
              <w:t>Security Type</w:t>
            </w:r>
          </w:p>
        </w:tc>
        <w:tc>
          <w:tcPr>
            <w:tcW w:w="2790" w:type="dxa"/>
          </w:tcPr>
          <w:p w:rsidR="001469A4" w:rsidRPr="00D2082C" w:rsidRDefault="001469A4" w:rsidP="0069620D">
            <w:pPr>
              <w:pStyle w:val="Default"/>
              <w:jc w:val="center"/>
              <w:rPr>
                <w:sz w:val="22"/>
                <w:szCs w:val="22"/>
              </w:rPr>
            </w:pPr>
            <w:r w:rsidRPr="00D2082C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063" w:type="dxa"/>
          </w:tcPr>
          <w:p w:rsidR="001469A4" w:rsidRPr="00D2082C" w:rsidRDefault="005911CC" w:rsidP="0069620D">
            <w:pPr>
              <w:pStyle w:val="Default"/>
              <w:jc w:val="center"/>
              <w:rPr>
                <w:sz w:val="22"/>
                <w:szCs w:val="22"/>
              </w:rPr>
            </w:pPr>
            <w:r w:rsidRPr="00D2082C">
              <w:rPr>
                <w:b/>
                <w:bCs/>
                <w:sz w:val="22"/>
                <w:szCs w:val="22"/>
              </w:rPr>
              <w:t>Expected to Transition</w:t>
            </w:r>
            <w:r w:rsidR="00550E30" w:rsidRPr="00D2082C">
              <w:rPr>
                <w:b/>
                <w:bCs/>
                <w:sz w:val="22"/>
                <w:szCs w:val="22"/>
              </w:rPr>
              <w:t xml:space="preserve"> to T+2?</w:t>
            </w:r>
          </w:p>
        </w:tc>
        <w:tc>
          <w:tcPr>
            <w:tcW w:w="2520" w:type="dxa"/>
          </w:tcPr>
          <w:p w:rsidR="001469A4" w:rsidRPr="00D2082C" w:rsidRDefault="001469A4" w:rsidP="0069620D">
            <w:pPr>
              <w:pStyle w:val="Default"/>
              <w:jc w:val="center"/>
              <w:rPr>
                <w:sz w:val="22"/>
                <w:szCs w:val="22"/>
              </w:rPr>
            </w:pPr>
            <w:r w:rsidRPr="00D2082C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FF0F3A" w:rsidRPr="00D2082C" w:rsidTr="000B5C64">
        <w:tc>
          <w:tcPr>
            <w:tcW w:w="11068" w:type="dxa"/>
            <w:gridSpan w:val="4"/>
          </w:tcPr>
          <w:p w:rsidR="00FF0F3A" w:rsidRPr="00D2082C" w:rsidRDefault="00FF0F3A" w:rsidP="00FF0F3A">
            <w:pPr>
              <w:jc w:val="center"/>
              <w:rPr>
                <w:b/>
                <w:color w:val="FF0000"/>
              </w:rPr>
            </w:pPr>
            <w:r w:rsidRPr="00D2082C">
              <w:rPr>
                <w:b/>
                <w:color w:val="FF0000"/>
              </w:rPr>
              <w:t>Investment Funds subject to NI 81-102 settlement provisions</w:t>
            </w:r>
          </w:p>
        </w:tc>
      </w:tr>
      <w:tr w:rsidR="00550E30" w:rsidRPr="00F6308E" w:rsidTr="000B5C64">
        <w:tc>
          <w:tcPr>
            <w:tcW w:w="2695" w:type="dxa"/>
          </w:tcPr>
          <w:p w:rsidR="00550E30" w:rsidRPr="00F6308E" w:rsidRDefault="00550E30" w:rsidP="00550E30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Money </w:t>
            </w:r>
            <w:r w:rsidR="00782B69" w:rsidRPr="00F6308E">
              <w:rPr>
                <w:sz w:val="20"/>
                <w:szCs w:val="20"/>
              </w:rPr>
              <w:t>market investment funds</w:t>
            </w:r>
          </w:p>
        </w:tc>
        <w:tc>
          <w:tcPr>
            <w:tcW w:w="2790" w:type="dxa"/>
          </w:tcPr>
          <w:p w:rsidR="00550E30" w:rsidRPr="00F6308E" w:rsidRDefault="00062047" w:rsidP="00550E30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rStyle w:val="acpxkynzsg"/>
                <w:sz w:val="20"/>
                <w:szCs w:val="20"/>
              </w:rPr>
              <w:t>C</w:t>
            </w:r>
            <w:r w:rsidR="007A2CA0" w:rsidRPr="00F6308E">
              <w:rPr>
                <w:rStyle w:val="acpxkynzsg"/>
                <w:sz w:val="20"/>
                <w:szCs w:val="20"/>
              </w:rPr>
              <w:t xml:space="preserve">omprised </w:t>
            </w:r>
            <w:r w:rsidRPr="00F6308E">
              <w:rPr>
                <w:rStyle w:val="acpxkynzsg"/>
                <w:sz w:val="20"/>
                <w:szCs w:val="20"/>
              </w:rPr>
              <w:t>of short-term, or less-than-one-</w:t>
            </w:r>
            <w:r w:rsidR="007A2CA0" w:rsidRPr="00F6308E">
              <w:rPr>
                <w:rStyle w:val="acpxkynzsg"/>
                <w:sz w:val="20"/>
                <w:szCs w:val="20"/>
              </w:rPr>
              <w:t>year</w:t>
            </w:r>
            <w:r w:rsidRPr="00F6308E">
              <w:rPr>
                <w:rStyle w:val="acpxkynzsg"/>
                <w:sz w:val="20"/>
                <w:szCs w:val="20"/>
              </w:rPr>
              <w:t>-term-remaining</w:t>
            </w:r>
            <w:r w:rsidR="00BC7743" w:rsidRPr="00F6308E">
              <w:rPr>
                <w:rStyle w:val="acpxkynzsg"/>
                <w:sz w:val="20"/>
                <w:szCs w:val="20"/>
              </w:rPr>
              <w:t xml:space="preserve"> securities</w:t>
            </w:r>
          </w:p>
        </w:tc>
        <w:tc>
          <w:tcPr>
            <w:tcW w:w="3063" w:type="dxa"/>
          </w:tcPr>
          <w:p w:rsidR="00550E30" w:rsidRPr="00F6308E" w:rsidRDefault="00574B60" w:rsidP="00341FA8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 xml:space="preserve">No; already </w:t>
            </w:r>
            <w:r w:rsidR="00782B69" w:rsidRPr="00F6308E">
              <w:rPr>
                <w:b/>
                <w:color w:val="FF0000"/>
                <w:sz w:val="20"/>
                <w:szCs w:val="20"/>
              </w:rPr>
              <w:t xml:space="preserve">at a </w:t>
            </w:r>
            <w:r w:rsidRPr="00F6308E">
              <w:rPr>
                <w:b/>
                <w:color w:val="FF0000"/>
                <w:sz w:val="20"/>
                <w:szCs w:val="20"/>
              </w:rPr>
              <w:t>T+1</w:t>
            </w:r>
          </w:p>
          <w:p w:rsidR="00574B60" w:rsidRPr="00F6308E" w:rsidRDefault="00574B60" w:rsidP="0032719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50E30" w:rsidRPr="00F6308E" w:rsidRDefault="00550E30" w:rsidP="00550E30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Settlement cycle applicable to sales and redemptions.</w:t>
            </w:r>
          </w:p>
        </w:tc>
      </w:tr>
      <w:tr w:rsidR="00FF0F3A" w:rsidRPr="00F6308E" w:rsidTr="000B5C64">
        <w:tc>
          <w:tcPr>
            <w:tcW w:w="2695" w:type="dxa"/>
          </w:tcPr>
          <w:p w:rsidR="00FF0F3A" w:rsidRPr="00F6308E" w:rsidRDefault="00A05DA3" w:rsidP="00A05DA3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Mutual </w:t>
            </w:r>
            <w:r w:rsidR="00D35BD6" w:rsidRPr="00F6308E">
              <w:rPr>
                <w:sz w:val="20"/>
                <w:szCs w:val="20"/>
              </w:rPr>
              <w:t>f</w:t>
            </w:r>
            <w:r w:rsidRPr="00F6308E">
              <w:rPr>
                <w:sz w:val="20"/>
                <w:szCs w:val="20"/>
              </w:rPr>
              <w:t>unds</w:t>
            </w:r>
          </w:p>
        </w:tc>
        <w:tc>
          <w:tcPr>
            <w:tcW w:w="2790" w:type="dxa"/>
          </w:tcPr>
          <w:p w:rsidR="00FF0F3A" w:rsidRPr="00F6308E" w:rsidRDefault="00574B60" w:rsidP="001469A4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If prospectus-</w:t>
            </w:r>
            <w:r w:rsidR="00A05DA3" w:rsidRPr="00F6308E">
              <w:rPr>
                <w:sz w:val="20"/>
                <w:szCs w:val="20"/>
              </w:rPr>
              <w:t>based and also a reporting issuer</w:t>
            </w:r>
          </w:p>
        </w:tc>
        <w:tc>
          <w:tcPr>
            <w:tcW w:w="3063" w:type="dxa"/>
          </w:tcPr>
          <w:p w:rsidR="00152F0E" w:rsidRPr="00F6308E" w:rsidRDefault="0070452A" w:rsidP="00152F0E">
            <w:pPr>
              <w:rPr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 xml:space="preserve">Will </w:t>
            </w:r>
            <w:r w:rsidR="00D35BD6" w:rsidRPr="00F6308E">
              <w:rPr>
                <w:b/>
                <w:color w:val="FF0000"/>
                <w:sz w:val="20"/>
                <w:szCs w:val="20"/>
              </w:rPr>
              <w:t>move to T+2</w:t>
            </w:r>
            <w:r w:rsidR="00A965C5" w:rsidRPr="00F6308E">
              <w:rPr>
                <w:rStyle w:val="FootnoteReference"/>
                <w:b/>
                <w:color w:val="FF0000"/>
                <w:sz w:val="20"/>
                <w:szCs w:val="20"/>
              </w:rPr>
              <w:footnoteReference w:id="1"/>
            </w:r>
          </w:p>
          <w:p w:rsidR="00550E30" w:rsidRPr="00F6308E" w:rsidRDefault="00550E30" w:rsidP="001469A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1D89" w:rsidRPr="00F6308E" w:rsidRDefault="00550E30" w:rsidP="001469A4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Settlement cycle applicable to sales and redemptions.</w:t>
            </w:r>
          </w:p>
        </w:tc>
      </w:tr>
      <w:tr w:rsidR="00550E30" w:rsidRPr="00F6308E" w:rsidTr="000B5C64">
        <w:tc>
          <w:tcPr>
            <w:tcW w:w="2695" w:type="dxa"/>
          </w:tcPr>
          <w:p w:rsidR="00550E30" w:rsidRPr="00F6308E" w:rsidRDefault="00550E30" w:rsidP="00550E30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Non-redeemable investment fund</w:t>
            </w:r>
          </w:p>
        </w:tc>
        <w:tc>
          <w:tcPr>
            <w:tcW w:w="2790" w:type="dxa"/>
          </w:tcPr>
          <w:p w:rsidR="00550E30" w:rsidRPr="00F6308E" w:rsidRDefault="00550E30" w:rsidP="00550E30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If a reporting issuer</w:t>
            </w:r>
            <w:r w:rsidR="004D5430" w:rsidRPr="00F6308E">
              <w:rPr>
                <w:sz w:val="20"/>
                <w:szCs w:val="20"/>
              </w:rPr>
              <w:t xml:space="preserve"> (e.g., closed-end funds)</w:t>
            </w:r>
          </w:p>
        </w:tc>
        <w:tc>
          <w:tcPr>
            <w:tcW w:w="3063" w:type="dxa"/>
          </w:tcPr>
          <w:p w:rsidR="00550E30" w:rsidRPr="00F6308E" w:rsidRDefault="00E27C29" w:rsidP="00550E30">
            <w:pPr>
              <w:rPr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 xml:space="preserve">Will </w:t>
            </w:r>
            <w:r w:rsidR="007A1DFF" w:rsidRPr="00F6308E">
              <w:rPr>
                <w:b/>
                <w:color w:val="FF0000"/>
                <w:sz w:val="20"/>
                <w:szCs w:val="20"/>
              </w:rPr>
              <w:t>move to T+2</w:t>
            </w:r>
          </w:p>
          <w:p w:rsidR="00152F0E" w:rsidRPr="00F6308E" w:rsidRDefault="00152F0E" w:rsidP="00550E3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1D89" w:rsidRPr="00F6308E" w:rsidRDefault="00550E30" w:rsidP="00550E30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Settlement cycle applicable to sales and redemptions.</w:t>
            </w:r>
          </w:p>
        </w:tc>
      </w:tr>
      <w:tr w:rsidR="00341FA8" w:rsidRPr="00F6308E" w:rsidTr="000B5C64">
        <w:tc>
          <w:tcPr>
            <w:tcW w:w="2695" w:type="dxa"/>
          </w:tcPr>
          <w:p w:rsidR="00341FA8" w:rsidRPr="00F6308E" w:rsidRDefault="00341FA8" w:rsidP="00341FA8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Non-conventional investment funds that permit redemptions for a proportionate interest of the fund’s net assets more than once a year</w:t>
            </w:r>
          </w:p>
        </w:tc>
        <w:tc>
          <w:tcPr>
            <w:tcW w:w="2790" w:type="dxa"/>
          </w:tcPr>
          <w:p w:rsidR="00341FA8" w:rsidRPr="00F6308E" w:rsidRDefault="00341FA8" w:rsidP="00341FA8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Considered to be </w:t>
            </w:r>
            <w:r w:rsidR="004D5430" w:rsidRPr="00F6308E">
              <w:rPr>
                <w:sz w:val="20"/>
                <w:szCs w:val="20"/>
              </w:rPr>
              <w:t>a mutual fund</w:t>
            </w:r>
            <w:r w:rsidRPr="00F6308E">
              <w:rPr>
                <w:sz w:val="20"/>
                <w:szCs w:val="20"/>
              </w:rPr>
              <w:t xml:space="preserve"> whether or not listed on an exchange.  Same operational requirements as conventional funds. Includes exchange-traded funds (ETFs) that distribute their securities using designated brokers, track an index and distribute their securities continuously. Some split-share companies also fall into this category.</w:t>
            </w:r>
          </w:p>
        </w:tc>
        <w:tc>
          <w:tcPr>
            <w:tcW w:w="3063" w:type="dxa"/>
          </w:tcPr>
          <w:p w:rsidR="00513F40" w:rsidRPr="00F6308E" w:rsidRDefault="00E1286C" w:rsidP="00341FA8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>At least exchange-traded funds to move to T+2</w:t>
            </w:r>
            <w:r w:rsidR="00D35BD6" w:rsidRPr="00F6308E">
              <w:rPr>
                <w:b/>
                <w:color w:val="FF0000"/>
                <w:sz w:val="20"/>
                <w:szCs w:val="20"/>
              </w:rPr>
              <w:t xml:space="preserve"> – others?</w:t>
            </w:r>
          </w:p>
          <w:p w:rsidR="00341FA8" w:rsidRPr="00F6308E" w:rsidRDefault="00341FA8" w:rsidP="00341FA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341FA8" w:rsidRPr="00F6308E" w:rsidRDefault="00341FA8" w:rsidP="00341FA8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Settlement cycle applicable to sales and redemptions.</w:t>
            </w:r>
          </w:p>
        </w:tc>
      </w:tr>
      <w:tr w:rsidR="00EB60D0" w:rsidRPr="00F6308E" w:rsidTr="000B5C64">
        <w:tc>
          <w:tcPr>
            <w:tcW w:w="2695" w:type="dxa"/>
          </w:tcPr>
          <w:p w:rsidR="00EB60D0" w:rsidRPr="00F6308E" w:rsidRDefault="00EB60D0" w:rsidP="00EB60D0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Non-conventional investment funds that do </w:t>
            </w:r>
            <w:r w:rsidR="002B5C03" w:rsidRPr="00F6308E">
              <w:rPr>
                <w:b/>
                <w:sz w:val="20"/>
                <w:szCs w:val="20"/>
              </w:rPr>
              <w:t>not</w:t>
            </w:r>
            <w:r w:rsidRPr="00F6308E">
              <w:rPr>
                <w:sz w:val="20"/>
                <w:szCs w:val="20"/>
              </w:rPr>
              <w:t xml:space="preserve"> permit redemptions for a proportionate interest of the fund’s net assets more than once a year</w:t>
            </w:r>
          </w:p>
        </w:tc>
        <w:tc>
          <w:tcPr>
            <w:tcW w:w="2790" w:type="dxa"/>
          </w:tcPr>
          <w:p w:rsidR="00EB60D0" w:rsidRPr="00F6308E" w:rsidRDefault="00EB60D0" w:rsidP="00EB60D0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Subject to the core operational requirements of NI 81-102.  Permitted to engage in certain investment strategies, and invest in certain asset classes, beyond what is allowed for conventional mutual funds.  Includes closed-end funds (usually listed on an exchange) and flow-through limited partnerships.</w:t>
            </w:r>
          </w:p>
        </w:tc>
        <w:tc>
          <w:tcPr>
            <w:tcW w:w="3063" w:type="dxa"/>
          </w:tcPr>
          <w:p w:rsidR="00E1286C" w:rsidRPr="00F6308E" w:rsidRDefault="00E1286C" w:rsidP="00E1286C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 xml:space="preserve">At least exchange-traded </w:t>
            </w:r>
            <w:r w:rsidR="00070B9C" w:rsidRPr="00F6308E">
              <w:rPr>
                <w:b/>
                <w:color w:val="FF0000"/>
                <w:sz w:val="20"/>
                <w:szCs w:val="20"/>
              </w:rPr>
              <w:t xml:space="preserve">and closed-end </w:t>
            </w:r>
            <w:r w:rsidR="004C5F59" w:rsidRPr="00F6308E">
              <w:rPr>
                <w:b/>
                <w:color w:val="FF0000"/>
                <w:sz w:val="20"/>
                <w:szCs w:val="20"/>
              </w:rPr>
              <w:t xml:space="preserve">funds </w:t>
            </w:r>
            <w:r w:rsidRPr="00F6308E">
              <w:rPr>
                <w:b/>
                <w:color w:val="FF0000"/>
                <w:sz w:val="20"/>
                <w:szCs w:val="20"/>
              </w:rPr>
              <w:t>to move to T+2</w:t>
            </w:r>
            <w:r w:rsidR="00D35BD6" w:rsidRPr="00F6308E">
              <w:rPr>
                <w:b/>
                <w:color w:val="FF0000"/>
                <w:sz w:val="20"/>
                <w:szCs w:val="20"/>
              </w:rPr>
              <w:t>; others?</w:t>
            </w:r>
          </w:p>
          <w:p w:rsidR="00EB60D0" w:rsidRPr="00F6308E" w:rsidRDefault="00EB60D0" w:rsidP="00EB60D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B60D0" w:rsidRPr="00F6308E" w:rsidRDefault="00EB60D0" w:rsidP="00EB60D0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Settlement cycle applicable to sales and redemptions.</w:t>
            </w:r>
          </w:p>
        </w:tc>
      </w:tr>
      <w:tr w:rsidR="00550E30" w:rsidRPr="00F6308E" w:rsidTr="000B5C64">
        <w:tc>
          <w:tcPr>
            <w:tcW w:w="11068" w:type="dxa"/>
            <w:gridSpan w:val="4"/>
          </w:tcPr>
          <w:p w:rsidR="00550E30" w:rsidRPr="00F6308E" w:rsidRDefault="00550E30" w:rsidP="00550E30">
            <w:pPr>
              <w:jc w:val="center"/>
              <w:rPr>
                <w:b/>
                <w:color w:val="FF0000"/>
              </w:rPr>
            </w:pPr>
            <w:r w:rsidRPr="00F6308E">
              <w:rPr>
                <w:b/>
                <w:color w:val="FF0000"/>
              </w:rPr>
              <w:t xml:space="preserve">Investment Funds </w:t>
            </w:r>
            <w:r w:rsidR="00EF48EF" w:rsidRPr="00F6308E">
              <w:rPr>
                <w:b/>
                <w:color w:val="FF0000"/>
              </w:rPr>
              <w:t xml:space="preserve">NOT </w:t>
            </w:r>
            <w:r w:rsidRPr="00F6308E">
              <w:rPr>
                <w:b/>
                <w:color w:val="FF0000"/>
              </w:rPr>
              <w:t>subject to NI 81-102 settlement provisions</w:t>
            </w:r>
          </w:p>
        </w:tc>
      </w:tr>
      <w:tr w:rsidR="00550E30" w:rsidRPr="00F6308E" w:rsidTr="000B5C64">
        <w:tc>
          <w:tcPr>
            <w:tcW w:w="2695" w:type="dxa"/>
          </w:tcPr>
          <w:p w:rsidR="00550E30" w:rsidRPr="00F6308E" w:rsidRDefault="00550E30" w:rsidP="00550E30">
            <w:pPr>
              <w:ind w:left="66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Mutual funds that are </w:t>
            </w:r>
            <w:r w:rsidRPr="00F6308E">
              <w:rPr>
                <w:sz w:val="20"/>
                <w:szCs w:val="20"/>
                <w:u w:val="single"/>
              </w:rPr>
              <w:t>not</w:t>
            </w:r>
            <w:r w:rsidRPr="00F6308E">
              <w:rPr>
                <w:sz w:val="20"/>
                <w:szCs w:val="20"/>
              </w:rPr>
              <w:t xml:space="preserve"> reporting issuers</w:t>
            </w:r>
          </w:p>
        </w:tc>
        <w:tc>
          <w:tcPr>
            <w:tcW w:w="2790" w:type="dxa"/>
          </w:tcPr>
          <w:p w:rsidR="00550E30" w:rsidRPr="00F6308E" w:rsidRDefault="00F65595" w:rsidP="00550E30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E</w:t>
            </w:r>
            <w:r w:rsidR="00550E30" w:rsidRPr="00F6308E">
              <w:rPr>
                <w:sz w:val="20"/>
                <w:szCs w:val="20"/>
              </w:rPr>
              <w:t>.g.</w:t>
            </w:r>
            <w:r w:rsidR="00D37D70" w:rsidRPr="00F6308E">
              <w:rPr>
                <w:sz w:val="20"/>
                <w:szCs w:val="20"/>
              </w:rPr>
              <w:t>,</w:t>
            </w:r>
            <w:r w:rsidR="00550E30" w:rsidRPr="00F6308E">
              <w:rPr>
                <w:sz w:val="20"/>
                <w:szCs w:val="20"/>
              </w:rPr>
              <w:t xml:space="preserve"> </w:t>
            </w:r>
            <w:r w:rsidRPr="00F6308E">
              <w:rPr>
                <w:sz w:val="20"/>
                <w:szCs w:val="20"/>
              </w:rPr>
              <w:t>pooled funds</w:t>
            </w:r>
          </w:p>
        </w:tc>
        <w:tc>
          <w:tcPr>
            <w:tcW w:w="3063" w:type="dxa"/>
          </w:tcPr>
          <w:p w:rsidR="00FF6830" w:rsidRPr="00F6308E" w:rsidRDefault="0005458D" w:rsidP="00550E30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>As yet n</w:t>
            </w:r>
            <w:r w:rsidR="00FF6830" w:rsidRPr="00F6308E">
              <w:rPr>
                <w:b/>
                <w:color w:val="FF0000"/>
                <w:sz w:val="20"/>
                <w:szCs w:val="20"/>
              </w:rPr>
              <w:t>ot known</w:t>
            </w:r>
            <w:r w:rsidRPr="00F6308E">
              <w:rPr>
                <w:b/>
                <w:color w:val="FF0000"/>
                <w:sz w:val="20"/>
                <w:szCs w:val="20"/>
              </w:rPr>
              <w:t xml:space="preserve"> – expectations?</w:t>
            </w:r>
          </w:p>
          <w:p w:rsidR="00550E30" w:rsidRPr="00F6308E" w:rsidRDefault="000B106B" w:rsidP="00550E30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Settlement period current ranges from T+1 to T+10.  The majority are T+3.  Settlement governed by contract.</w:t>
            </w:r>
          </w:p>
        </w:tc>
        <w:tc>
          <w:tcPr>
            <w:tcW w:w="2520" w:type="dxa"/>
          </w:tcPr>
          <w:p w:rsidR="00550E30" w:rsidRPr="00F6308E" w:rsidRDefault="002861F5" w:rsidP="00550E30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Includes mutual funds that sell securities to the public </w:t>
            </w:r>
            <w:r w:rsidR="00D37D70" w:rsidRPr="00F6308E">
              <w:rPr>
                <w:sz w:val="20"/>
                <w:szCs w:val="20"/>
              </w:rPr>
              <w:t>only under capital-</w:t>
            </w:r>
            <w:r w:rsidRPr="00F6308E">
              <w:rPr>
                <w:sz w:val="20"/>
                <w:szCs w:val="20"/>
              </w:rPr>
              <w:t>raising exemptions in securities legislation.</w:t>
            </w:r>
          </w:p>
          <w:p w:rsidR="00F57AD8" w:rsidRPr="00F6308E" w:rsidRDefault="00F57AD8" w:rsidP="00F57AD8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lastRenderedPageBreak/>
              <w:t>1</w:t>
            </w:r>
            <w:r w:rsidR="00093C80" w:rsidRPr="00F6308E">
              <w:rPr>
                <w:sz w:val="20"/>
                <w:szCs w:val="20"/>
              </w:rPr>
              <w:t>,</w:t>
            </w:r>
            <w:r w:rsidRPr="00F6308E">
              <w:rPr>
                <w:sz w:val="20"/>
                <w:szCs w:val="20"/>
              </w:rPr>
              <w:t>100 pooled funds are cleared</w:t>
            </w:r>
            <w:r w:rsidR="001E25DB" w:rsidRPr="00F6308E">
              <w:rPr>
                <w:sz w:val="20"/>
                <w:szCs w:val="20"/>
              </w:rPr>
              <w:t xml:space="preserve"> through Fundserv (approx.</w:t>
            </w:r>
            <w:r w:rsidRPr="00F6308E">
              <w:rPr>
                <w:sz w:val="20"/>
                <w:szCs w:val="20"/>
              </w:rPr>
              <w:t xml:space="preserve"> 600 are T+3).</w:t>
            </w:r>
          </w:p>
        </w:tc>
      </w:tr>
      <w:tr w:rsidR="00550E30" w:rsidRPr="00F6308E" w:rsidTr="000B5C64">
        <w:tc>
          <w:tcPr>
            <w:tcW w:w="2695" w:type="dxa"/>
          </w:tcPr>
          <w:p w:rsidR="00550E30" w:rsidRPr="00F6308E" w:rsidRDefault="00550E30" w:rsidP="00F65595">
            <w:pPr>
              <w:ind w:left="66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lastRenderedPageBreak/>
              <w:t xml:space="preserve">Investment funds that are </w:t>
            </w:r>
            <w:r w:rsidRPr="00F6308E">
              <w:rPr>
                <w:sz w:val="20"/>
                <w:szCs w:val="20"/>
                <w:u w:val="single"/>
              </w:rPr>
              <w:t>not</w:t>
            </w:r>
            <w:r w:rsidRPr="00F6308E">
              <w:rPr>
                <w:sz w:val="20"/>
                <w:szCs w:val="20"/>
              </w:rPr>
              <w:t xml:space="preserve"> reporting issuers</w:t>
            </w:r>
          </w:p>
        </w:tc>
        <w:tc>
          <w:tcPr>
            <w:tcW w:w="2790" w:type="dxa"/>
          </w:tcPr>
          <w:p w:rsidR="00676150" w:rsidRPr="00F6308E" w:rsidRDefault="00F65595" w:rsidP="002602BB">
            <w:pPr>
              <w:rPr>
                <w:b/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E.g.</w:t>
            </w:r>
            <w:r w:rsidR="00B1757D" w:rsidRPr="00F6308E">
              <w:rPr>
                <w:sz w:val="20"/>
                <w:szCs w:val="20"/>
              </w:rPr>
              <w:t>,</w:t>
            </w:r>
            <w:r w:rsidRPr="00F6308E">
              <w:rPr>
                <w:sz w:val="20"/>
                <w:szCs w:val="20"/>
              </w:rPr>
              <w:t xml:space="preserve"> n</w:t>
            </w:r>
            <w:r w:rsidR="00550E30" w:rsidRPr="00F6308E">
              <w:rPr>
                <w:sz w:val="20"/>
                <w:szCs w:val="20"/>
              </w:rPr>
              <w:t>on-redeemable investment funds that are not reporting issuers</w:t>
            </w:r>
            <w:r w:rsidR="002602BB" w:rsidRPr="00F6308E">
              <w:rPr>
                <w:sz w:val="20"/>
                <w:szCs w:val="20"/>
              </w:rPr>
              <w:t xml:space="preserve">, e.g., </w:t>
            </w:r>
            <w:r w:rsidR="002602BB" w:rsidRPr="00F6308E">
              <w:rPr>
                <w:bCs/>
                <w:sz w:val="20"/>
                <w:szCs w:val="20"/>
              </w:rPr>
              <w:t>hedge fu</w:t>
            </w:r>
            <w:r w:rsidR="006E098B" w:rsidRPr="00F6308E">
              <w:rPr>
                <w:bCs/>
                <w:sz w:val="20"/>
                <w:szCs w:val="20"/>
              </w:rPr>
              <w:t>nds, alternative funds, exempt m</w:t>
            </w:r>
            <w:r w:rsidR="002602BB" w:rsidRPr="00F6308E">
              <w:rPr>
                <w:bCs/>
                <w:sz w:val="20"/>
                <w:szCs w:val="20"/>
              </w:rPr>
              <w:t>arket products such as MICs, REITs, mortgage funds, etc.</w:t>
            </w:r>
          </w:p>
        </w:tc>
        <w:tc>
          <w:tcPr>
            <w:tcW w:w="3063" w:type="dxa"/>
          </w:tcPr>
          <w:p w:rsidR="000F393A" w:rsidRPr="00F6308E" w:rsidRDefault="00442CE1" w:rsidP="00F6559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</w:t>
            </w:r>
            <w:r w:rsidR="00A524E8" w:rsidRPr="00F6308E">
              <w:rPr>
                <w:b/>
                <w:bCs/>
                <w:color w:val="FF0000"/>
                <w:sz w:val="20"/>
                <w:szCs w:val="20"/>
              </w:rPr>
              <w:t xml:space="preserve">uch products </w:t>
            </w:r>
            <w:r>
              <w:rPr>
                <w:b/>
                <w:bCs/>
                <w:color w:val="FF0000"/>
                <w:sz w:val="20"/>
                <w:szCs w:val="20"/>
              </w:rPr>
              <w:t>currently settling</w:t>
            </w:r>
            <w:r w:rsidR="00A524E8" w:rsidRPr="00F6308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on </w:t>
            </w:r>
            <w:r w:rsidR="00A524E8" w:rsidRPr="00F6308E">
              <w:rPr>
                <w:b/>
                <w:bCs/>
                <w:color w:val="FF0000"/>
                <w:sz w:val="20"/>
                <w:szCs w:val="20"/>
              </w:rPr>
              <w:t xml:space="preserve">T+3 </w:t>
            </w:r>
            <w:r w:rsidR="00592ED1" w:rsidRPr="00F6308E">
              <w:rPr>
                <w:b/>
                <w:bCs/>
                <w:color w:val="FF0000"/>
                <w:sz w:val="20"/>
                <w:szCs w:val="20"/>
              </w:rPr>
              <w:t xml:space="preserve">expected to </w:t>
            </w:r>
            <w:r w:rsidR="000F393A" w:rsidRPr="00F6308E">
              <w:rPr>
                <w:b/>
                <w:bCs/>
                <w:color w:val="FF0000"/>
                <w:sz w:val="20"/>
                <w:szCs w:val="20"/>
              </w:rPr>
              <w:t>move to T+2</w:t>
            </w:r>
          </w:p>
          <w:p w:rsidR="00A524E8" w:rsidRPr="00F6308E" w:rsidRDefault="00A524E8" w:rsidP="00A524E8">
            <w:pPr>
              <w:rPr>
                <w:sz w:val="20"/>
                <w:szCs w:val="20"/>
              </w:rPr>
            </w:pPr>
            <w:r w:rsidRPr="00F6308E">
              <w:rPr>
                <w:bCs/>
                <w:sz w:val="20"/>
                <w:szCs w:val="20"/>
              </w:rPr>
              <w:t>Transactions that currently have a longer settlement cycle (such as T+10</w:t>
            </w:r>
            <w:r w:rsidR="00442CE1">
              <w:rPr>
                <w:bCs/>
                <w:sz w:val="20"/>
                <w:szCs w:val="20"/>
              </w:rPr>
              <w:t>,</w:t>
            </w:r>
            <w:r w:rsidRPr="00F6308E">
              <w:rPr>
                <w:bCs/>
                <w:sz w:val="20"/>
                <w:szCs w:val="20"/>
              </w:rPr>
              <w:t xml:space="preserve"> for example) would not be expected to change</w:t>
            </w:r>
            <w:r w:rsidR="00AB0934">
              <w:rPr>
                <w:bCs/>
                <w:sz w:val="20"/>
                <w:szCs w:val="20"/>
              </w:rPr>
              <w:t xml:space="preserve"> their cycle</w:t>
            </w:r>
            <w:r w:rsidRPr="00F6308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676150" w:rsidRPr="00F6308E" w:rsidRDefault="00676150" w:rsidP="00676150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In Canada, the issuer of these funds publishes the settlement provisions within the </w:t>
            </w:r>
            <w:r w:rsidR="00F65595" w:rsidRPr="00F6308E">
              <w:rPr>
                <w:sz w:val="20"/>
                <w:szCs w:val="20"/>
              </w:rPr>
              <w:t>prospectus or offering memorandum</w:t>
            </w:r>
            <w:r w:rsidRPr="00F6308E">
              <w:rPr>
                <w:sz w:val="20"/>
                <w:szCs w:val="20"/>
              </w:rPr>
              <w:t xml:space="preserve">. </w:t>
            </w:r>
          </w:p>
          <w:p w:rsidR="00550E30" w:rsidRPr="00F6308E" w:rsidRDefault="00550E30" w:rsidP="00676150">
            <w:pPr>
              <w:rPr>
                <w:sz w:val="20"/>
                <w:szCs w:val="20"/>
              </w:rPr>
            </w:pPr>
          </w:p>
        </w:tc>
      </w:tr>
      <w:tr w:rsidR="00550E30" w:rsidRPr="00F6308E" w:rsidTr="000B5C64">
        <w:tc>
          <w:tcPr>
            <w:tcW w:w="2695" w:type="dxa"/>
          </w:tcPr>
          <w:p w:rsidR="00550E30" w:rsidRPr="00F6308E" w:rsidRDefault="006B68DD" w:rsidP="00550E30">
            <w:pPr>
              <w:ind w:left="66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Scholarship or e</w:t>
            </w:r>
            <w:r w:rsidR="00550E30" w:rsidRPr="00F6308E">
              <w:rPr>
                <w:sz w:val="20"/>
                <w:szCs w:val="20"/>
              </w:rPr>
              <w:t>ducation plans</w:t>
            </w:r>
          </w:p>
        </w:tc>
        <w:tc>
          <w:tcPr>
            <w:tcW w:w="2790" w:type="dxa"/>
          </w:tcPr>
          <w:p w:rsidR="00550E30" w:rsidRPr="00F6308E" w:rsidRDefault="00550E30" w:rsidP="00B037B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063" w:type="dxa"/>
          </w:tcPr>
          <w:p w:rsidR="00550E30" w:rsidRPr="00F6308E" w:rsidRDefault="007F5DA4" w:rsidP="00441D89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 xml:space="preserve">As yet not known </w:t>
            </w:r>
            <w:r w:rsidR="000B5C64" w:rsidRPr="00F6308E">
              <w:rPr>
                <w:b/>
                <w:color w:val="FF0000"/>
                <w:sz w:val="20"/>
                <w:szCs w:val="20"/>
              </w:rPr>
              <w:t>– expectations?</w:t>
            </w:r>
          </w:p>
        </w:tc>
        <w:tc>
          <w:tcPr>
            <w:tcW w:w="2520" w:type="dxa"/>
          </w:tcPr>
          <w:p w:rsidR="00550E30" w:rsidRPr="00F6308E" w:rsidRDefault="00550E30" w:rsidP="00550E30">
            <w:pPr>
              <w:rPr>
                <w:sz w:val="20"/>
                <w:szCs w:val="20"/>
              </w:rPr>
            </w:pPr>
          </w:p>
        </w:tc>
      </w:tr>
      <w:tr w:rsidR="00550E30" w:rsidRPr="00F6308E" w:rsidTr="000B5C64">
        <w:tc>
          <w:tcPr>
            <w:tcW w:w="2695" w:type="dxa"/>
          </w:tcPr>
          <w:p w:rsidR="00550E30" w:rsidRPr="00F6308E" w:rsidRDefault="00550E30" w:rsidP="00550E30">
            <w:pPr>
              <w:ind w:left="66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Investment funds organized under an </w:t>
            </w:r>
            <w:r w:rsidRPr="00F6308E">
              <w:rPr>
                <w:i/>
                <w:sz w:val="20"/>
                <w:szCs w:val="20"/>
              </w:rPr>
              <w:t>Act to establish the Fonds de solidarité des travailleurs du Québec</w:t>
            </w:r>
            <w:r w:rsidRPr="00F6308E">
              <w:rPr>
                <w:sz w:val="20"/>
                <w:szCs w:val="20"/>
              </w:rPr>
              <w:t xml:space="preserve"> (F.T.Q.) (chapter F-3.2.1)</w:t>
            </w:r>
          </w:p>
        </w:tc>
        <w:tc>
          <w:tcPr>
            <w:tcW w:w="2790" w:type="dxa"/>
          </w:tcPr>
          <w:p w:rsidR="00BE0A5A" w:rsidRPr="00F6308E" w:rsidRDefault="006E4306">
            <w:pPr>
              <w:rPr>
                <w:b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>Like LSIFs?</w:t>
            </w:r>
          </w:p>
        </w:tc>
        <w:tc>
          <w:tcPr>
            <w:tcW w:w="3063" w:type="dxa"/>
          </w:tcPr>
          <w:p w:rsidR="007F5DA4" w:rsidRPr="00F6308E" w:rsidRDefault="007F5DA4" w:rsidP="007F5DA4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>As yet not known – expectations?</w:t>
            </w:r>
          </w:p>
          <w:p w:rsidR="00550E30" w:rsidRPr="00F6308E" w:rsidRDefault="00170973" w:rsidP="00170973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Subscription settlement governed by contract.  </w:t>
            </w:r>
            <w:r w:rsidR="000B5C64" w:rsidRPr="00F6308E">
              <w:rPr>
                <w:sz w:val="20"/>
                <w:szCs w:val="20"/>
              </w:rPr>
              <w:t>R</w:t>
            </w:r>
            <w:r w:rsidRPr="00F6308E">
              <w:rPr>
                <w:sz w:val="20"/>
                <w:szCs w:val="20"/>
              </w:rPr>
              <w:t>edemptions</w:t>
            </w:r>
            <w:r w:rsidR="000B5C64" w:rsidRPr="00F6308E">
              <w:rPr>
                <w:sz w:val="20"/>
                <w:szCs w:val="20"/>
              </w:rPr>
              <w:t xml:space="preserve"> </w:t>
            </w:r>
            <w:r w:rsidRPr="00F6308E">
              <w:rPr>
                <w:sz w:val="20"/>
                <w:szCs w:val="20"/>
              </w:rPr>
              <w:t>governed by statute.</w:t>
            </w:r>
          </w:p>
        </w:tc>
        <w:tc>
          <w:tcPr>
            <w:tcW w:w="2520" w:type="dxa"/>
          </w:tcPr>
          <w:p w:rsidR="00550E30" w:rsidRPr="00F6308E" w:rsidRDefault="00550E30" w:rsidP="00550E30">
            <w:pPr>
              <w:rPr>
                <w:sz w:val="20"/>
                <w:szCs w:val="20"/>
              </w:rPr>
            </w:pPr>
          </w:p>
        </w:tc>
      </w:tr>
      <w:tr w:rsidR="00170973" w:rsidRPr="00F6308E" w:rsidTr="000B5C64">
        <w:tc>
          <w:tcPr>
            <w:tcW w:w="2695" w:type="dxa"/>
          </w:tcPr>
          <w:p w:rsidR="00170973" w:rsidRPr="00F6308E" w:rsidRDefault="00170973" w:rsidP="00170973">
            <w:pPr>
              <w:ind w:left="66"/>
              <w:rPr>
                <w:sz w:val="20"/>
                <w:szCs w:val="20"/>
                <w:lang w:val="fr-CA"/>
              </w:rPr>
            </w:pPr>
            <w:r w:rsidRPr="00035050">
              <w:rPr>
                <w:sz w:val="20"/>
                <w:szCs w:val="20"/>
                <w:lang w:val="fr-CA"/>
              </w:rPr>
              <w:t xml:space="preserve">Investment </w:t>
            </w:r>
            <w:proofErr w:type="spellStart"/>
            <w:r w:rsidRPr="00035050">
              <w:rPr>
                <w:sz w:val="20"/>
                <w:szCs w:val="20"/>
                <w:lang w:val="fr-CA"/>
              </w:rPr>
              <w:t>funds</w:t>
            </w:r>
            <w:proofErr w:type="spellEnd"/>
            <w:r w:rsidRPr="00035050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35050">
              <w:rPr>
                <w:sz w:val="20"/>
                <w:szCs w:val="20"/>
                <w:lang w:val="fr-CA"/>
              </w:rPr>
              <w:t>organized</w:t>
            </w:r>
            <w:proofErr w:type="spellEnd"/>
            <w:r w:rsidRPr="00035050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35050">
              <w:rPr>
                <w:sz w:val="20"/>
                <w:szCs w:val="20"/>
                <w:lang w:val="fr-CA"/>
              </w:rPr>
              <w:t>under</w:t>
            </w:r>
            <w:proofErr w:type="spellEnd"/>
            <w:r w:rsidRPr="00035050">
              <w:rPr>
                <w:sz w:val="20"/>
                <w:szCs w:val="20"/>
                <w:lang w:val="fr-CA"/>
              </w:rPr>
              <w:t xml:space="preserve"> an </w:t>
            </w:r>
            <w:proofErr w:type="spellStart"/>
            <w:r w:rsidRPr="00035050">
              <w:rPr>
                <w:i/>
                <w:sz w:val="20"/>
                <w:szCs w:val="20"/>
                <w:lang w:val="fr-CA"/>
              </w:rPr>
              <w:t>Act</w:t>
            </w:r>
            <w:proofErr w:type="spellEnd"/>
            <w:r w:rsidRPr="00035050">
              <w:rPr>
                <w:i/>
                <w:sz w:val="20"/>
                <w:szCs w:val="20"/>
                <w:lang w:val="fr-CA"/>
              </w:rPr>
              <w:t xml:space="preserve"> to </w:t>
            </w:r>
            <w:proofErr w:type="spellStart"/>
            <w:r w:rsidRPr="00035050">
              <w:rPr>
                <w:i/>
                <w:sz w:val="20"/>
                <w:szCs w:val="20"/>
                <w:lang w:val="fr-CA"/>
              </w:rPr>
              <w:t>establish</w:t>
            </w:r>
            <w:proofErr w:type="spellEnd"/>
            <w:r w:rsidRPr="00035050">
              <w:rPr>
                <w:i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35050">
              <w:rPr>
                <w:i/>
                <w:sz w:val="20"/>
                <w:szCs w:val="20"/>
                <w:lang w:val="fr-CA"/>
              </w:rPr>
              <w:t>Fondaction</w:t>
            </w:r>
            <w:proofErr w:type="spellEnd"/>
            <w:r w:rsidRPr="00035050">
              <w:rPr>
                <w:i/>
                <w:sz w:val="20"/>
                <w:szCs w:val="20"/>
                <w:lang w:val="fr-CA"/>
              </w:rPr>
              <w:t xml:space="preserve">, le Fonds de développement de la Confédération des syndicats </w:t>
            </w:r>
            <w:r w:rsidRPr="00F6308E">
              <w:rPr>
                <w:i/>
                <w:sz w:val="20"/>
                <w:szCs w:val="20"/>
                <w:lang w:val="fr-CA"/>
              </w:rPr>
              <w:t>nationaux pour la coopération et l'emploi</w:t>
            </w:r>
            <w:r w:rsidRPr="00F6308E">
              <w:rPr>
                <w:sz w:val="20"/>
                <w:szCs w:val="20"/>
                <w:lang w:val="fr-CA"/>
              </w:rPr>
              <w:t xml:space="preserve"> (</w:t>
            </w:r>
            <w:proofErr w:type="spellStart"/>
            <w:r w:rsidRPr="00F6308E">
              <w:rPr>
                <w:sz w:val="20"/>
                <w:szCs w:val="20"/>
                <w:lang w:val="fr-CA"/>
              </w:rPr>
              <w:t>chapter</w:t>
            </w:r>
            <w:proofErr w:type="spellEnd"/>
            <w:r w:rsidRPr="00F6308E">
              <w:rPr>
                <w:sz w:val="20"/>
                <w:szCs w:val="20"/>
                <w:lang w:val="fr-CA"/>
              </w:rPr>
              <w:t xml:space="preserve"> F-3.1.2)</w:t>
            </w:r>
          </w:p>
        </w:tc>
        <w:tc>
          <w:tcPr>
            <w:tcW w:w="2790" w:type="dxa"/>
          </w:tcPr>
          <w:p w:rsidR="00170973" w:rsidRPr="00035050" w:rsidRDefault="001420A8" w:rsidP="00170973">
            <w:pPr>
              <w:rPr>
                <w:sz w:val="20"/>
                <w:szCs w:val="20"/>
                <w:lang w:val="fr-CA"/>
              </w:rPr>
            </w:pPr>
            <w:r w:rsidRPr="00035050">
              <w:rPr>
                <w:b/>
                <w:color w:val="FF0000"/>
                <w:sz w:val="20"/>
                <w:szCs w:val="20"/>
              </w:rPr>
              <w:t>Like LSIFs?</w:t>
            </w:r>
          </w:p>
        </w:tc>
        <w:tc>
          <w:tcPr>
            <w:tcW w:w="3063" w:type="dxa"/>
          </w:tcPr>
          <w:p w:rsidR="007F5DA4" w:rsidRPr="00F6308E" w:rsidRDefault="007F5DA4" w:rsidP="007F5DA4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>As yet not known – expectations?</w:t>
            </w:r>
          </w:p>
          <w:p w:rsidR="00170973" w:rsidRPr="00F6308E" w:rsidRDefault="00170973" w:rsidP="00170973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Subscription settlement governed by contract.  </w:t>
            </w:r>
            <w:r w:rsidR="00AB0934" w:rsidRPr="00F6308E">
              <w:rPr>
                <w:sz w:val="20"/>
                <w:szCs w:val="20"/>
              </w:rPr>
              <w:t>Redemptions governed by statute.</w:t>
            </w:r>
          </w:p>
        </w:tc>
        <w:tc>
          <w:tcPr>
            <w:tcW w:w="2520" w:type="dxa"/>
          </w:tcPr>
          <w:p w:rsidR="00170973" w:rsidRPr="00F6308E" w:rsidRDefault="00170973" w:rsidP="00170973">
            <w:pPr>
              <w:rPr>
                <w:sz w:val="20"/>
                <w:szCs w:val="20"/>
              </w:rPr>
            </w:pPr>
          </w:p>
        </w:tc>
      </w:tr>
      <w:tr w:rsidR="00170973" w:rsidRPr="00F6308E" w:rsidTr="000B5C64">
        <w:tc>
          <w:tcPr>
            <w:tcW w:w="2695" w:type="dxa"/>
          </w:tcPr>
          <w:p w:rsidR="00170973" w:rsidRPr="00F6308E" w:rsidRDefault="00170973" w:rsidP="00170973">
            <w:pPr>
              <w:ind w:left="66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Investment funds organized under an </w:t>
            </w:r>
            <w:r w:rsidRPr="00F6308E">
              <w:rPr>
                <w:i/>
                <w:sz w:val="20"/>
                <w:szCs w:val="20"/>
              </w:rPr>
              <w:t>Act constituting Capital régional et coopératif Desjardins</w:t>
            </w:r>
            <w:r w:rsidRPr="00F6308E">
              <w:rPr>
                <w:sz w:val="20"/>
                <w:szCs w:val="20"/>
              </w:rPr>
              <w:t xml:space="preserve"> (chapter C-6.1)</w:t>
            </w:r>
          </w:p>
        </w:tc>
        <w:tc>
          <w:tcPr>
            <w:tcW w:w="2790" w:type="dxa"/>
          </w:tcPr>
          <w:p w:rsidR="00170973" w:rsidRPr="00F6308E" w:rsidRDefault="00170973" w:rsidP="00170973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7F5DA4" w:rsidRPr="00F6308E" w:rsidRDefault="007F5DA4" w:rsidP="007F5DA4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>As yet not known – expectations?</w:t>
            </w:r>
          </w:p>
          <w:p w:rsidR="00170973" w:rsidRPr="00F6308E" w:rsidRDefault="00170973" w:rsidP="00170973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Subscription settlement governed by contract.  </w:t>
            </w:r>
            <w:r w:rsidR="00AB0934" w:rsidRPr="00F6308E">
              <w:rPr>
                <w:sz w:val="20"/>
                <w:szCs w:val="20"/>
              </w:rPr>
              <w:t>Redemptions governed by statute.</w:t>
            </w:r>
          </w:p>
        </w:tc>
        <w:tc>
          <w:tcPr>
            <w:tcW w:w="2520" w:type="dxa"/>
          </w:tcPr>
          <w:p w:rsidR="00170973" w:rsidRPr="00F6308E" w:rsidRDefault="00170973" w:rsidP="00170973">
            <w:pPr>
              <w:rPr>
                <w:sz w:val="20"/>
                <w:szCs w:val="20"/>
              </w:rPr>
            </w:pPr>
          </w:p>
        </w:tc>
      </w:tr>
      <w:tr w:rsidR="00170973" w:rsidRPr="00F6308E" w:rsidTr="000B5C64">
        <w:tc>
          <w:tcPr>
            <w:tcW w:w="2695" w:type="dxa"/>
          </w:tcPr>
          <w:p w:rsidR="00170973" w:rsidRPr="00F6308E" w:rsidRDefault="006B68DD" w:rsidP="00170973">
            <w:pPr>
              <w:ind w:left="66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Labour-</w:t>
            </w:r>
            <w:r w:rsidR="00170973" w:rsidRPr="00F6308E">
              <w:rPr>
                <w:sz w:val="20"/>
                <w:szCs w:val="20"/>
              </w:rPr>
              <w:t>Sponsored Investment Funds</w:t>
            </w:r>
            <w:r w:rsidR="00EB0843" w:rsidRPr="00F6308E">
              <w:rPr>
                <w:sz w:val="20"/>
                <w:szCs w:val="20"/>
              </w:rPr>
              <w:t xml:space="preserve"> (LSIFs)</w:t>
            </w:r>
          </w:p>
        </w:tc>
        <w:tc>
          <w:tcPr>
            <w:tcW w:w="2790" w:type="dxa"/>
          </w:tcPr>
          <w:p w:rsidR="00170973" w:rsidRPr="00F6308E" w:rsidRDefault="00170973" w:rsidP="00170973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EB0843" w:rsidRPr="00F6308E" w:rsidRDefault="007F5DA4" w:rsidP="00170973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 xml:space="preserve">Will </w:t>
            </w:r>
            <w:r w:rsidR="00EB0843" w:rsidRPr="00F6308E">
              <w:rPr>
                <w:b/>
                <w:color w:val="FF0000"/>
                <w:sz w:val="20"/>
                <w:szCs w:val="20"/>
              </w:rPr>
              <w:t>move to T+</w:t>
            </w:r>
            <w:r w:rsidR="00782B69" w:rsidRPr="00F6308E">
              <w:rPr>
                <w:b/>
                <w:color w:val="FF0000"/>
                <w:sz w:val="20"/>
                <w:szCs w:val="20"/>
              </w:rPr>
              <w:t>2</w:t>
            </w:r>
            <w:r w:rsidR="00EB0843" w:rsidRPr="00F6308E">
              <w:rPr>
                <w:b/>
                <w:color w:val="FF0000"/>
                <w:sz w:val="20"/>
                <w:szCs w:val="20"/>
              </w:rPr>
              <w:t xml:space="preserve"> standard </w:t>
            </w:r>
          </w:p>
          <w:p w:rsidR="00170973" w:rsidRPr="00F6308E" w:rsidRDefault="00EB0843" w:rsidP="00170973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R</w:t>
            </w:r>
            <w:r w:rsidR="00170973" w:rsidRPr="00F6308E">
              <w:rPr>
                <w:sz w:val="20"/>
                <w:szCs w:val="20"/>
              </w:rPr>
              <w:t>egulation 1015 General issued pursuant to the Securities Act (Ontario), s. 240(2) paragraph 8, a rule, policy, or practice of the Commission or Director shall not apply to matters concerning sales or redemptions of securities of mu</w:t>
            </w:r>
            <w:r w:rsidRPr="00F6308E">
              <w:rPr>
                <w:sz w:val="20"/>
                <w:szCs w:val="20"/>
              </w:rPr>
              <w:t>tual funds in respect to Labour-</w:t>
            </w:r>
            <w:r w:rsidR="00170973" w:rsidRPr="00F6308E">
              <w:rPr>
                <w:sz w:val="20"/>
                <w:szCs w:val="20"/>
              </w:rPr>
              <w:t>Sponsored Investment Funds</w:t>
            </w:r>
            <w:r w:rsidR="00AD7864" w:rsidRPr="00F6308E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170973" w:rsidRPr="00F6308E" w:rsidRDefault="001760B3" w:rsidP="001760B3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150 LSIFs are cleared through Fundserv – almost all are T+3.</w:t>
            </w:r>
          </w:p>
        </w:tc>
      </w:tr>
      <w:tr w:rsidR="00170973" w:rsidRPr="00F6308E" w:rsidTr="000B5C64">
        <w:tc>
          <w:tcPr>
            <w:tcW w:w="2695" w:type="dxa"/>
          </w:tcPr>
          <w:p w:rsidR="00170973" w:rsidRPr="00F6308E" w:rsidRDefault="00170973" w:rsidP="00170973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 xml:space="preserve">Private </w:t>
            </w:r>
            <w:r w:rsidR="00AD7864" w:rsidRPr="00F6308E">
              <w:rPr>
                <w:sz w:val="20"/>
                <w:szCs w:val="20"/>
              </w:rPr>
              <w:t>mutual funds</w:t>
            </w:r>
          </w:p>
        </w:tc>
        <w:tc>
          <w:tcPr>
            <w:tcW w:w="2790" w:type="dxa"/>
          </w:tcPr>
          <w:p w:rsidR="00170973" w:rsidRPr="00F6308E" w:rsidRDefault="00170973" w:rsidP="00170973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E.g.</w:t>
            </w:r>
            <w:r w:rsidR="00C75E31" w:rsidRPr="00F6308E">
              <w:rPr>
                <w:sz w:val="20"/>
                <w:szCs w:val="20"/>
              </w:rPr>
              <w:t>,</w:t>
            </w:r>
            <w:r w:rsidRPr="00F6308E">
              <w:rPr>
                <w:sz w:val="20"/>
                <w:szCs w:val="20"/>
              </w:rPr>
              <w:t xml:space="preserve"> investment clubs</w:t>
            </w:r>
          </w:p>
        </w:tc>
        <w:tc>
          <w:tcPr>
            <w:tcW w:w="3063" w:type="dxa"/>
          </w:tcPr>
          <w:p w:rsidR="00170973" w:rsidRPr="00F6308E" w:rsidRDefault="005431FB" w:rsidP="008F7DC0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 xml:space="preserve">As yet not known </w:t>
            </w:r>
            <w:r w:rsidR="000667D0" w:rsidRPr="00F6308E">
              <w:rPr>
                <w:b/>
                <w:color w:val="FF0000"/>
                <w:sz w:val="20"/>
                <w:szCs w:val="20"/>
              </w:rPr>
              <w:t>– expectations?</w:t>
            </w:r>
          </w:p>
        </w:tc>
        <w:tc>
          <w:tcPr>
            <w:tcW w:w="2520" w:type="dxa"/>
          </w:tcPr>
          <w:p w:rsidR="00170973" w:rsidRPr="00F6308E" w:rsidRDefault="00170973" w:rsidP="00170973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Settlement period may be governed by contract.</w:t>
            </w:r>
          </w:p>
        </w:tc>
      </w:tr>
      <w:tr w:rsidR="00170973" w:rsidRPr="00F6308E" w:rsidTr="000B5C64">
        <w:tc>
          <w:tcPr>
            <w:tcW w:w="2695" w:type="dxa"/>
          </w:tcPr>
          <w:p w:rsidR="00170973" w:rsidRPr="00F6308E" w:rsidRDefault="00AD7864" w:rsidP="00170973">
            <w:pPr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Commodity p</w:t>
            </w:r>
            <w:r w:rsidR="00170973" w:rsidRPr="00F6308E">
              <w:rPr>
                <w:sz w:val="20"/>
                <w:szCs w:val="20"/>
              </w:rPr>
              <w:t>ools</w:t>
            </w:r>
          </w:p>
        </w:tc>
        <w:tc>
          <w:tcPr>
            <w:tcW w:w="2790" w:type="dxa"/>
          </w:tcPr>
          <w:p w:rsidR="00170973" w:rsidRPr="00F6308E" w:rsidRDefault="00170973" w:rsidP="00170973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Mutual funds that are permitted to invest in derivatives or commodities (where otherwise prohibited under NI 81-102)</w:t>
            </w:r>
          </w:p>
        </w:tc>
        <w:tc>
          <w:tcPr>
            <w:tcW w:w="3063" w:type="dxa"/>
          </w:tcPr>
          <w:p w:rsidR="00170973" w:rsidRPr="00F6308E" w:rsidRDefault="005431FB" w:rsidP="008F7DC0">
            <w:pPr>
              <w:rPr>
                <w:b/>
                <w:color w:val="FF0000"/>
                <w:sz w:val="20"/>
                <w:szCs w:val="20"/>
              </w:rPr>
            </w:pPr>
            <w:r w:rsidRPr="00F6308E">
              <w:rPr>
                <w:b/>
                <w:color w:val="FF0000"/>
                <w:sz w:val="20"/>
                <w:szCs w:val="20"/>
              </w:rPr>
              <w:t>As yet not known – expectations?</w:t>
            </w:r>
          </w:p>
        </w:tc>
        <w:tc>
          <w:tcPr>
            <w:tcW w:w="2520" w:type="dxa"/>
          </w:tcPr>
          <w:p w:rsidR="00170973" w:rsidRPr="00F6308E" w:rsidRDefault="00170973" w:rsidP="00170973">
            <w:pPr>
              <w:pStyle w:val="Default"/>
              <w:rPr>
                <w:sz w:val="20"/>
                <w:szCs w:val="20"/>
              </w:rPr>
            </w:pPr>
            <w:r w:rsidRPr="00F6308E">
              <w:rPr>
                <w:sz w:val="20"/>
                <w:szCs w:val="20"/>
              </w:rPr>
              <w:t>Governed by NI 81-104.</w:t>
            </w:r>
          </w:p>
        </w:tc>
      </w:tr>
    </w:tbl>
    <w:p w:rsidR="002D5CEE" w:rsidRPr="00035050" w:rsidRDefault="002D5CEE">
      <w:pPr>
        <w:rPr>
          <w:sz w:val="2"/>
          <w:szCs w:val="2"/>
        </w:rPr>
      </w:pPr>
      <w:bookmarkStart w:id="0" w:name="_GoBack"/>
      <w:bookmarkEnd w:id="0"/>
    </w:p>
    <w:sectPr w:rsidR="002D5CEE" w:rsidRPr="00035050" w:rsidSect="00EB1381">
      <w:headerReference w:type="default" r:id="rId9"/>
      <w:pgSz w:w="12240" w:h="15840"/>
      <w:pgMar w:top="720" w:right="63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66" w:rsidRDefault="00CF7066" w:rsidP="00DC05B3">
      <w:pPr>
        <w:spacing w:after="0" w:line="240" w:lineRule="auto"/>
      </w:pPr>
      <w:r>
        <w:separator/>
      </w:r>
    </w:p>
  </w:endnote>
  <w:endnote w:type="continuationSeparator" w:id="0">
    <w:p w:rsidR="00CF7066" w:rsidRDefault="00CF7066" w:rsidP="00DC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66" w:rsidRDefault="00CF7066" w:rsidP="00DC05B3">
      <w:pPr>
        <w:spacing w:after="0" w:line="240" w:lineRule="auto"/>
      </w:pPr>
      <w:r>
        <w:separator/>
      </w:r>
    </w:p>
  </w:footnote>
  <w:footnote w:type="continuationSeparator" w:id="0">
    <w:p w:rsidR="00CF7066" w:rsidRDefault="00CF7066" w:rsidP="00DC05B3">
      <w:pPr>
        <w:spacing w:after="0" w:line="240" w:lineRule="auto"/>
      </w:pPr>
      <w:r>
        <w:continuationSeparator/>
      </w:r>
    </w:p>
  </w:footnote>
  <w:footnote w:id="1">
    <w:p w:rsidR="00A965C5" w:rsidRDefault="00A965C5" w:rsidP="00070B9C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070B9C">
        <w:t xml:space="preserve">See section </w:t>
      </w:r>
      <w:r w:rsidRPr="00D2082C">
        <w:t>9.4 of NI 81-102</w:t>
      </w:r>
      <w:r w:rsidR="00070B9C">
        <w:t>, which</w:t>
      </w:r>
      <w:r w:rsidRPr="00D2082C">
        <w:t xml:space="preserve"> provides for maximum settlement of T+3.  See also </w:t>
      </w:r>
      <w:r w:rsidR="00070B9C">
        <w:t>section</w:t>
      </w:r>
      <w:r w:rsidRPr="00D2082C">
        <w:t xml:space="preserve"> 10.4 requiring T+4 settlement date re: forced settlements/buy-ins.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03" w:rsidRPr="000B5C64" w:rsidRDefault="002B5C03" w:rsidP="00EB1381">
    <w:pPr>
      <w:pStyle w:val="Header"/>
      <w:ind w:right="-180"/>
      <w:rPr>
        <w:sz w:val="16"/>
        <w:szCs w:val="16"/>
      </w:rPr>
    </w:pPr>
    <w:r w:rsidRPr="000B5C64">
      <w:rPr>
        <w:noProof/>
        <w:sz w:val="16"/>
        <w:szCs w:val="16"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68976691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B5C03" w:rsidRPr="00BF3A0D" w:rsidRDefault="002B5C03" w:rsidP="00BF3A0D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BF3A0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DRAFT FOR COMMENT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" o:allowoverlap="f" fillcolor="red" strokecolor="red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-68976691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C05B3" w:rsidRPr="00BF3A0D" w:rsidRDefault="00BF3A0D" w:rsidP="00BF3A0D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BF3A0D">
                          <w:rPr>
                            <w:b/>
                            <w:caps/>
                            <w:color w:val="FFFFFF" w:themeColor="background1"/>
                          </w:rPr>
                          <w:t>DRAFT FOR COMMENT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00909"/>
    <w:multiLevelType w:val="hybridMultilevel"/>
    <w:tmpl w:val="56AECC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0208A2"/>
    <w:multiLevelType w:val="hybridMultilevel"/>
    <w:tmpl w:val="04FCD7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5D1124"/>
    <w:multiLevelType w:val="hybridMultilevel"/>
    <w:tmpl w:val="234860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9F1A80"/>
    <w:multiLevelType w:val="hybridMultilevel"/>
    <w:tmpl w:val="4B02F3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8604F2F"/>
    <w:multiLevelType w:val="hybridMultilevel"/>
    <w:tmpl w:val="6F9DF5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E30AC8"/>
    <w:multiLevelType w:val="hybridMultilevel"/>
    <w:tmpl w:val="AAFAC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62CD"/>
    <w:multiLevelType w:val="hybridMultilevel"/>
    <w:tmpl w:val="DC0F34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A4"/>
    <w:rsid w:val="00006AB3"/>
    <w:rsid w:val="000149DD"/>
    <w:rsid w:val="00035050"/>
    <w:rsid w:val="0005458D"/>
    <w:rsid w:val="00062047"/>
    <w:rsid w:val="000667D0"/>
    <w:rsid w:val="00070B9C"/>
    <w:rsid w:val="000759B4"/>
    <w:rsid w:val="00093C80"/>
    <w:rsid w:val="000B106B"/>
    <w:rsid w:val="000B3C6C"/>
    <w:rsid w:val="000B5C64"/>
    <w:rsid w:val="000F393A"/>
    <w:rsid w:val="00132CCC"/>
    <w:rsid w:val="001420A8"/>
    <w:rsid w:val="00145B20"/>
    <w:rsid w:val="001469A4"/>
    <w:rsid w:val="00152F0E"/>
    <w:rsid w:val="00170973"/>
    <w:rsid w:val="00174EAE"/>
    <w:rsid w:val="001760B3"/>
    <w:rsid w:val="00177195"/>
    <w:rsid w:val="001E25DB"/>
    <w:rsid w:val="001F5FAD"/>
    <w:rsid w:val="002602BB"/>
    <w:rsid w:val="00271D89"/>
    <w:rsid w:val="002861F5"/>
    <w:rsid w:val="002B0E91"/>
    <w:rsid w:val="002B5C03"/>
    <w:rsid w:val="002D5CEE"/>
    <w:rsid w:val="003163C4"/>
    <w:rsid w:val="00327196"/>
    <w:rsid w:val="00341FA8"/>
    <w:rsid w:val="00351A86"/>
    <w:rsid w:val="00410DEB"/>
    <w:rsid w:val="00441D89"/>
    <w:rsid w:val="00442CE1"/>
    <w:rsid w:val="0049644E"/>
    <w:rsid w:val="004C5F59"/>
    <w:rsid w:val="004D5430"/>
    <w:rsid w:val="004F6D9A"/>
    <w:rsid w:val="00513F40"/>
    <w:rsid w:val="005431FB"/>
    <w:rsid w:val="00550E30"/>
    <w:rsid w:val="00574B60"/>
    <w:rsid w:val="005911CC"/>
    <w:rsid w:val="00592ED1"/>
    <w:rsid w:val="005C421A"/>
    <w:rsid w:val="00676150"/>
    <w:rsid w:val="006825BD"/>
    <w:rsid w:val="00690E08"/>
    <w:rsid w:val="0069620D"/>
    <w:rsid w:val="006A5D11"/>
    <w:rsid w:val="006B3FD1"/>
    <w:rsid w:val="006B68DD"/>
    <w:rsid w:val="006C5FF4"/>
    <w:rsid w:val="006E098B"/>
    <w:rsid w:val="006E4306"/>
    <w:rsid w:val="006F489E"/>
    <w:rsid w:val="007024CF"/>
    <w:rsid w:val="0070452A"/>
    <w:rsid w:val="00782B69"/>
    <w:rsid w:val="007A1DFF"/>
    <w:rsid w:val="007A2CA0"/>
    <w:rsid w:val="007D46A6"/>
    <w:rsid w:val="007F5DA4"/>
    <w:rsid w:val="008018CF"/>
    <w:rsid w:val="0083371D"/>
    <w:rsid w:val="0087436B"/>
    <w:rsid w:val="00884C27"/>
    <w:rsid w:val="00897CB4"/>
    <w:rsid w:val="008D3A6D"/>
    <w:rsid w:val="008F7DC0"/>
    <w:rsid w:val="00926336"/>
    <w:rsid w:val="00946FEC"/>
    <w:rsid w:val="00950469"/>
    <w:rsid w:val="00985F07"/>
    <w:rsid w:val="009B50B0"/>
    <w:rsid w:val="009D29F0"/>
    <w:rsid w:val="009E2553"/>
    <w:rsid w:val="00A05DA3"/>
    <w:rsid w:val="00A27829"/>
    <w:rsid w:val="00A42CAC"/>
    <w:rsid w:val="00A524E8"/>
    <w:rsid w:val="00A87656"/>
    <w:rsid w:val="00A965C5"/>
    <w:rsid w:val="00AA6A09"/>
    <w:rsid w:val="00AA78ED"/>
    <w:rsid w:val="00AB0934"/>
    <w:rsid w:val="00AC7D84"/>
    <w:rsid w:val="00AD2447"/>
    <w:rsid w:val="00AD7864"/>
    <w:rsid w:val="00B037B8"/>
    <w:rsid w:val="00B1757D"/>
    <w:rsid w:val="00B47F0F"/>
    <w:rsid w:val="00B84D7C"/>
    <w:rsid w:val="00B95B8A"/>
    <w:rsid w:val="00BC7743"/>
    <w:rsid w:val="00BD36DC"/>
    <w:rsid w:val="00BE0A5A"/>
    <w:rsid w:val="00BF3A0D"/>
    <w:rsid w:val="00C216FB"/>
    <w:rsid w:val="00C22FD4"/>
    <w:rsid w:val="00C4128C"/>
    <w:rsid w:val="00C544AD"/>
    <w:rsid w:val="00C75E31"/>
    <w:rsid w:val="00C80355"/>
    <w:rsid w:val="00CB4E6D"/>
    <w:rsid w:val="00CB7264"/>
    <w:rsid w:val="00CF7066"/>
    <w:rsid w:val="00D00730"/>
    <w:rsid w:val="00D2082C"/>
    <w:rsid w:val="00D21D00"/>
    <w:rsid w:val="00D35BD6"/>
    <w:rsid w:val="00D37D70"/>
    <w:rsid w:val="00D42BD6"/>
    <w:rsid w:val="00D63C73"/>
    <w:rsid w:val="00DC05B3"/>
    <w:rsid w:val="00DD335B"/>
    <w:rsid w:val="00DF4401"/>
    <w:rsid w:val="00E1286C"/>
    <w:rsid w:val="00E22393"/>
    <w:rsid w:val="00E27C29"/>
    <w:rsid w:val="00E846C0"/>
    <w:rsid w:val="00EB0843"/>
    <w:rsid w:val="00EB1381"/>
    <w:rsid w:val="00EB60D0"/>
    <w:rsid w:val="00EF48EF"/>
    <w:rsid w:val="00F02A89"/>
    <w:rsid w:val="00F21882"/>
    <w:rsid w:val="00F57AD8"/>
    <w:rsid w:val="00F6308E"/>
    <w:rsid w:val="00F65595"/>
    <w:rsid w:val="00FF0F3A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DBA7D-2A17-405F-8953-9104A72B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4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F0F3A"/>
    <w:pPr>
      <w:spacing w:after="12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cpxkynzsg">
    <w:name w:val="acpxkynzsg"/>
    <w:basedOn w:val="DefaultParagraphFont"/>
    <w:rsid w:val="007A2CA0"/>
  </w:style>
  <w:style w:type="character" w:styleId="Hyperlink">
    <w:name w:val="Hyperlink"/>
    <w:basedOn w:val="DefaultParagraphFont"/>
    <w:uiPriority w:val="99"/>
    <w:unhideWhenUsed/>
    <w:rsid w:val="00AC7D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B3"/>
  </w:style>
  <w:style w:type="paragraph" w:styleId="Footer">
    <w:name w:val="footer"/>
    <w:basedOn w:val="Normal"/>
    <w:link w:val="FooterChar"/>
    <w:uiPriority w:val="99"/>
    <w:unhideWhenUsed/>
    <w:rsid w:val="00D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B3"/>
  </w:style>
  <w:style w:type="character" w:customStyle="1" w:styleId="alt-edited">
    <w:name w:val="alt-edited"/>
    <w:basedOn w:val="DefaultParagraphFont"/>
    <w:rsid w:val="006A5D11"/>
  </w:style>
  <w:style w:type="paragraph" w:styleId="FootnoteText">
    <w:name w:val="footnote text"/>
    <w:basedOn w:val="Normal"/>
    <w:link w:val="FootnoteTextChar"/>
    <w:uiPriority w:val="99"/>
    <w:semiHidden/>
    <w:unhideWhenUsed/>
    <w:rsid w:val="00A965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5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5C5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5C42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6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sden@ccma-acmc.ca?subject=Comments%20on%20Investment%20Funds%20Settlement%20Cyc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640B-944D-43FE-825E-28034BC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COMMENT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COMMENT</dc:title>
  <dc:subject/>
  <dc:creator>Anderson</dc:creator>
  <cp:keywords/>
  <dc:description/>
  <cp:lastModifiedBy>Barbara Amsden</cp:lastModifiedBy>
  <cp:revision>2</cp:revision>
  <cp:lastPrinted>2017-02-20T20:28:00Z</cp:lastPrinted>
  <dcterms:created xsi:type="dcterms:W3CDTF">2017-04-27T20:11:00Z</dcterms:created>
  <dcterms:modified xsi:type="dcterms:W3CDTF">2017-04-27T20:11:00Z</dcterms:modified>
</cp:coreProperties>
</file>